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731D1" w:rsidRPr="00A731D1" w14:paraId="2F78D1E7" w14:textId="77777777" w:rsidTr="00A731D1">
        <w:trPr>
          <w:tblCellSpacing w:w="0" w:type="dxa"/>
        </w:trPr>
        <w:tc>
          <w:tcPr>
            <w:tcW w:w="3348" w:type="dxa"/>
            <w:tcMar>
              <w:top w:w="0" w:type="dxa"/>
              <w:left w:w="108" w:type="dxa"/>
              <w:bottom w:w="0" w:type="dxa"/>
              <w:right w:w="108" w:type="dxa"/>
            </w:tcMar>
            <w:hideMark/>
          </w:tcPr>
          <w:p w14:paraId="5352C4E2"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bookmarkStart w:id="0" w:name="_GoBack"/>
            <w:r w:rsidRPr="00A731D1">
              <w:rPr>
                <w:rFonts w:ascii="Times New Roman" w:eastAsia="Times New Roman" w:hAnsi="Times New Roman"/>
                <w:b/>
                <w:bCs/>
                <w:sz w:val="24"/>
                <w:szCs w:val="24"/>
                <w:lang w:val="en-US" w:eastAsia="en-US"/>
              </w:rPr>
              <w:t>VĂN PHÒNG QUỐC HỘI</w:t>
            </w:r>
            <w:r w:rsidRPr="00A731D1">
              <w:rPr>
                <w:rFonts w:ascii="Times New Roman" w:eastAsia="Times New Roman" w:hAnsi="Times New Roman"/>
                <w:b/>
                <w:bCs/>
                <w:sz w:val="24"/>
                <w:szCs w:val="24"/>
                <w:lang w:val="en-US" w:eastAsia="en-US"/>
              </w:rPr>
              <w:br/>
              <w:t>-------</w:t>
            </w:r>
          </w:p>
        </w:tc>
        <w:tc>
          <w:tcPr>
            <w:tcW w:w="5508" w:type="dxa"/>
            <w:tcMar>
              <w:top w:w="0" w:type="dxa"/>
              <w:left w:w="108" w:type="dxa"/>
              <w:bottom w:w="0" w:type="dxa"/>
              <w:right w:w="108" w:type="dxa"/>
            </w:tcMar>
            <w:hideMark/>
          </w:tcPr>
          <w:p w14:paraId="2957FC5A"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CỘNG HÒA XÃ HỘI CHỦ NGHĨA VIỆT NAM</w:t>
            </w:r>
            <w:r w:rsidRPr="00A731D1">
              <w:rPr>
                <w:rFonts w:ascii="Times New Roman" w:eastAsia="Times New Roman" w:hAnsi="Times New Roman"/>
                <w:b/>
                <w:bCs/>
                <w:sz w:val="24"/>
                <w:szCs w:val="24"/>
                <w:lang w:val="en-US" w:eastAsia="en-US"/>
              </w:rPr>
              <w:br/>
              <w:t>Độc lập - Tự do - Hạnh phúc</w:t>
            </w:r>
            <w:r w:rsidRPr="00A731D1">
              <w:rPr>
                <w:rFonts w:ascii="Times New Roman" w:eastAsia="Times New Roman" w:hAnsi="Times New Roman"/>
                <w:b/>
                <w:bCs/>
                <w:sz w:val="24"/>
                <w:szCs w:val="24"/>
                <w:lang w:val="en-US" w:eastAsia="en-US"/>
              </w:rPr>
              <w:br/>
              <w:t>---------------</w:t>
            </w:r>
          </w:p>
        </w:tc>
      </w:tr>
      <w:tr w:rsidR="00A731D1" w:rsidRPr="00A731D1" w14:paraId="7B422342" w14:textId="77777777" w:rsidTr="00A731D1">
        <w:trPr>
          <w:tblCellSpacing w:w="0" w:type="dxa"/>
        </w:trPr>
        <w:tc>
          <w:tcPr>
            <w:tcW w:w="3348" w:type="dxa"/>
            <w:tcMar>
              <w:top w:w="0" w:type="dxa"/>
              <w:left w:w="108" w:type="dxa"/>
              <w:bottom w:w="0" w:type="dxa"/>
              <w:right w:w="108" w:type="dxa"/>
            </w:tcMar>
            <w:hideMark/>
          </w:tcPr>
          <w:p w14:paraId="49195027"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Số: 15/VBHN-VPQH</w:t>
            </w:r>
          </w:p>
        </w:tc>
        <w:tc>
          <w:tcPr>
            <w:tcW w:w="5508" w:type="dxa"/>
            <w:tcMar>
              <w:top w:w="0" w:type="dxa"/>
              <w:left w:w="108" w:type="dxa"/>
              <w:bottom w:w="0" w:type="dxa"/>
              <w:right w:w="108" w:type="dxa"/>
            </w:tcMar>
            <w:hideMark/>
          </w:tcPr>
          <w:p w14:paraId="6B24BBB6" w14:textId="77777777" w:rsidR="00A731D1" w:rsidRPr="00A731D1" w:rsidRDefault="00A731D1" w:rsidP="00A731D1">
            <w:pPr>
              <w:spacing w:before="120" w:after="120" w:line="234" w:lineRule="atLeast"/>
              <w:jc w:val="right"/>
              <w:rPr>
                <w:rFonts w:ascii="Times New Roman" w:eastAsia="Times New Roman" w:hAnsi="Times New Roman"/>
                <w:sz w:val="24"/>
                <w:szCs w:val="24"/>
                <w:lang w:val="en-US" w:eastAsia="en-US"/>
              </w:rPr>
            </w:pPr>
            <w:r w:rsidRPr="00A731D1">
              <w:rPr>
                <w:rFonts w:ascii="Times New Roman" w:eastAsia="Times New Roman" w:hAnsi="Times New Roman"/>
                <w:i/>
                <w:iCs/>
                <w:sz w:val="24"/>
                <w:szCs w:val="24"/>
                <w:lang w:val="en-US" w:eastAsia="en-US"/>
              </w:rPr>
              <w:t>Hà Nội, ngày 11 tháng 12 năm 2014</w:t>
            </w:r>
          </w:p>
        </w:tc>
      </w:tr>
    </w:tbl>
    <w:p w14:paraId="334F9BC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 </w:t>
      </w:r>
    </w:p>
    <w:p w14:paraId="1018046D"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1" w:name="loai_1"/>
      <w:r w:rsidRPr="00A731D1">
        <w:rPr>
          <w:rFonts w:ascii="Arial" w:eastAsia="Times New Roman" w:hAnsi="Arial" w:cs="Arial"/>
          <w:b/>
          <w:bCs/>
          <w:color w:val="000000"/>
          <w:sz w:val="24"/>
          <w:szCs w:val="24"/>
          <w:lang w:eastAsia="en-US"/>
        </w:rPr>
        <w:t>LUẬT</w:t>
      </w:r>
      <w:bookmarkEnd w:id="1"/>
    </w:p>
    <w:p w14:paraId="046E88FE"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2" w:name="loai_1_name"/>
      <w:r w:rsidRPr="00A731D1">
        <w:rPr>
          <w:rFonts w:ascii="Arial" w:eastAsia="Times New Roman" w:hAnsi="Arial" w:cs="Arial"/>
          <w:color w:val="000000"/>
          <w:sz w:val="18"/>
          <w:szCs w:val="18"/>
          <w:lang w:eastAsia="en-US"/>
        </w:rPr>
        <w:t>THUẾ THU NHẬP CÁ NHÂN</w:t>
      </w:r>
      <w:bookmarkEnd w:id="2"/>
    </w:p>
    <w:p w14:paraId="1F8A1F0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Luật thuế thu nhập cá nhân số 04/2007/QH12 ngày 21 tháng 11 năm 2007 của Quốc hội, có hiệu lực kể từ ngày 01 tháng 01 năm 2009, được sửa đổi, bổ sung bởi:</w:t>
      </w:r>
    </w:p>
    <w:p w14:paraId="10D48C6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Luật số 26/2012/QH13 ngày 22 tháng 11 năm 2012 của Quốc hội sửa đổi, bổ sung một số điều của Luật thuế thu nhập cá nhân, có hiệu lực kể từ ngày 01 tháng 7 năm 2013;</w:t>
      </w:r>
    </w:p>
    <w:p w14:paraId="451B5536"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Luật số 71/2014/QH13 ngày 26 tháng 11 năm 2014 của Quốc hội sửa đổi, bổ sung một số điều của các luật về thuế, có hiệu lực kể từ ngày 01 tháng 01 năm 2015.</w:t>
      </w:r>
    </w:p>
    <w:p w14:paraId="44A0D3E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eastAsia="en-US"/>
        </w:rPr>
        <w:t>Căn cứ Hiến pháp nước Cộng hòa xã hội chủ nghĩa Việt Nam năm 1992 đã được sửa đổi, bổ sung một số điều theo Nghị quyết số 51/2001/QH10;</w:t>
      </w:r>
    </w:p>
    <w:p w14:paraId="68ED41B7"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eastAsia="en-US"/>
        </w:rPr>
        <w:t>Quốc hội ban hành Luật thuế thu nhập cá nhân</w:t>
      </w:r>
      <w:hyperlink r:id="rId8" w:anchor="_ftn1" w:history="1">
        <w:r w:rsidRPr="00A731D1">
          <w:rPr>
            <w:rFonts w:ascii="Arial" w:eastAsia="Times New Roman" w:hAnsi="Arial" w:cs="Arial"/>
            <w:color w:val="000000"/>
            <w:sz w:val="18"/>
            <w:szCs w:val="18"/>
            <w:u w:val="single"/>
            <w:vertAlign w:val="superscript"/>
            <w:lang w:eastAsia="en-US"/>
          </w:rPr>
          <w:t>1</w:t>
        </w:r>
      </w:hyperlink>
      <w:r w:rsidRPr="00A731D1">
        <w:rPr>
          <w:rFonts w:ascii="Arial" w:eastAsia="Times New Roman" w:hAnsi="Arial" w:cs="Arial"/>
          <w:i/>
          <w:iCs/>
          <w:color w:val="000000"/>
          <w:sz w:val="18"/>
          <w:szCs w:val="18"/>
          <w:lang w:eastAsia="en-US"/>
        </w:rPr>
        <w:t>.</w:t>
      </w:r>
    </w:p>
    <w:p w14:paraId="70FF07A8"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 w:name="chuong_1"/>
      <w:r w:rsidRPr="00A731D1">
        <w:rPr>
          <w:rFonts w:ascii="Arial" w:eastAsia="Times New Roman" w:hAnsi="Arial" w:cs="Arial"/>
          <w:b/>
          <w:bCs/>
          <w:color w:val="000000"/>
          <w:sz w:val="18"/>
          <w:szCs w:val="18"/>
          <w:lang w:val="en-US" w:eastAsia="en-US"/>
        </w:rPr>
        <w:t>Chương I</w:t>
      </w:r>
      <w:bookmarkEnd w:id="3"/>
    </w:p>
    <w:p w14:paraId="02D5B3BE"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4" w:name="chuong_1_name"/>
      <w:r w:rsidRPr="00A731D1">
        <w:rPr>
          <w:rFonts w:ascii="Arial" w:eastAsia="Times New Roman" w:hAnsi="Arial" w:cs="Arial"/>
          <w:b/>
          <w:bCs/>
          <w:color w:val="000000"/>
          <w:sz w:val="24"/>
          <w:szCs w:val="24"/>
          <w:lang w:val="en-US" w:eastAsia="en-US"/>
        </w:rPr>
        <w:t>NHỮNG QUY ĐỊNH CHUNG</w:t>
      </w:r>
      <w:bookmarkEnd w:id="4"/>
    </w:p>
    <w:p w14:paraId="5B5D2F4D"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5" w:name="dieu_1"/>
      <w:r w:rsidRPr="00A731D1">
        <w:rPr>
          <w:rFonts w:ascii="Arial" w:eastAsia="Times New Roman" w:hAnsi="Arial" w:cs="Arial"/>
          <w:b/>
          <w:bCs/>
          <w:color w:val="000000"/>
          <w:sz w:val="18"/>
          <w:szCs w:val="18"/>
          <w:lang w:val="en-US" w:eastAsia="en-US"/>
        </w:rPr>
        <w:t>Điều 1. Phạm vi điều chỉnh</w:t>
      </w:r>
      <w:bookmarkEnd w:id="5"/>
    </w:p>
    <w:p w14:paraId="20EC8E6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Luật này quy định về đối tượng nộp thuế, thu nhập chịu thuế, thu nhập được miễn thuế, giảm thuế và căn cứ tính thuế thu nhập cá nhân.</w:t>
      </w:r>
    </w:p>
    <w:p w14:paraId="2E206980"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6" w:name="dieu_2"/>
      <w:r w:rsidRPr="00A731D1">
        <w:rPr>
          <w:rFonts w:ascii="Arial" w:eastAsia="Times New Roman" w:hAnsi="Arial" w:cs="Arial"/>
          <w:b/>
          <w:bCs/>
          <w:color w:val="000000"/>
          <w:sz w:val="18"/>
          <w:szCs w:val="18"/>
          <w:lang w:val="en-US" w:eastAsia="en-US"/>
        </w:rPr>
        <w:t>Điều 2. Đối tượng nộp thuế</w:t>
      </w:r>
      <w:bookmarkEnd w:id="6"/>
    </w:p>
    <w:p w14:paraId="2C7C2A0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Đối tượng nộp thuế thu nhập cá nhân là cá nhân cư trú có thu nhập chịu thuế quy định tại Điều 3 của Luật này phát sinh trong và ngoài lãnh thổ Việt Nam và cá nhân không cư trú có thu nhập chịu thuế quy định tại Điều 3 của Luật này phát sinh trong lãnh thổ Việt Nam.</w:t>
      </w:r>
    </w:p>
    <w:p w14:paraId="3265B9F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Cá nhân cư trú là người đáp ứng một trong các điều kiện sau đây:</w:t>
      </w:r>
    </w:p>
    <w:p w14:paraId="039C2DF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Có mặt tại Việt Nam từ 183 ngày trở lên tính trong một năm dương lịch hoặc tính theo 12 tháng liên tục kể từ ngày đầu tiên có mặt tại Việt Nam;</w:t>
      </w:r>
    </w:p>
    <w:p w14:paraId="199D4D6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Có nơi ở thường xuyên tại Việt Nam, bao gồm có nơi ở đăng ký thường trú hoặc có nhà thuê để ở tại Việt Nam theo hợp đồng thuê có thời hạn.</w:t>
      </w:r>
    </w:p>
    <w:p w14:paraId="42AE4F7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Cá nhân không cư trú là người không đáp ứng điều kiện quy định tại khoản 2 Điều này.</w:t>
      </w:r>
    </w:p>
    <w:p w14:paraId="342C52AA"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7" w:name="dieu_3"/>
      <w:r w:rsidRPr="00A731D1">
        <w:rPr>
          <w:rFonts w:ascii="Arial" w:eastAsia="Times New Roman" w:hAnsi="Arial" w:cs="Arial"/>
          <w:b/>
          <w:bCs/>
          <w:color w:val="000000"/>
          <w:sz w:val="18"/>
          <w:szCs w:val="18"/>
          <w:lang w:val="en-US" w:eastAsia="en-US"/>
        </w:rPr>
        <w:t>Điều 3. Thu nhập chịu thuế</w:t>
      </w:r>
      <w:bookmarkEnd w:id="7"/>
    </w:p>
    <w:p w14:paraId="236C1EF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Thu nhập chịu thuế thu nhập cá nhân gồm các loại thu nhập sau đây, trừ thu nhập được miễn thuế quy định tại Điều 4 của Luật này:</w:t>
      </w:r>
    </w:p>
    <w:p w14:paraId="05EC05E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w:t>
      </w:r>
      <w:hyperlink r:id="rId9" w:anchor="_ftn2" w:history="1">
        <w:r w:rsidRPr="00A731D1">
          <w:rPr>
            <w:rFonts w:ascii="Arial" w:eastAsia="Times New Roman" w:hAnsi="Arial" w:cs="Arial"/>
            <w:color w:val="000000"/>
            <w:sz w:val="18"/>
            <w:szCs w:val="18"/>
            <w:u w:val="single"/>
            <w:lang w:val="en-US" w:eastAsia="en-US"/>
          </w:rPr>
          <w:t>2</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từ kinh doanh, bao gồm:</w:t>
      </w:r>
    </w:p>
    <w:p w14:paraId="4AAC310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Thu nhập từ hoạt động sản xuất, kinh doanh hàng hóa, dịch vụ;</w:t>
      </w:r>
    </w:p>
    <w:p w14:paraId="4AE1FB3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Thu nhập từ hoạt động hành nghề độc lập của cá nhân có giấy phép hoặc chứng chỉ hành nghề theo quy định của pháp luật.</w:t>
      </w:r>
    </w:p>
    <w:p w14:paraId="5A702C4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Thu nhập từ kinh doanh quy định tại khoản này không bao gồm thu nhập của cá nhân kinh doanh có doanh thu từ 100 triệu đồng/năm trở xuống.</w:t>
      </w:r>
    </w:p>
    <w:p w14:paraId="1C5E6BF8"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w:t>
      </w:r>
      <w:hyperlink r:id="rId10" w:anchor="_ftn3" w:history="1">
        <w:r w:rsidRPr="00A731D1">
          <w:rPr>
            <w:rFonts w:ascii="Arial" w:eastAsia="Times New Roman" w:hAnsi="Arial" w:cs="Arial"/>
            <w:color w:val="000000"/>
            <w:sz w:val="18"/>
            <w:szCs w:val="18"/>
            <w:u w:val="single"/>
            <w:lang w:eastAsia="en-US"/>
          </w:rPr>
          <w:t>3</w:t>
        </w:r>
      </w:hyperlink>
      <w:r w:rsidRPr="00A731D1">
        <w:rPr>
          <w:rFonts w:ascii="Arial" w:eastAsia="Times New Roman" w:hAnsi="Arial" w:cs="Arial"/>
          <w:color w:val="000000"/>
          <w:sz w:val="18"/>
          <w:szCs w:val="18"/>
          <w:lang w:val="en-US" w:eastAsia="en-US"/>
        </w:rPr>
        <w:t> Thu nhập từ tiền lương, tiền công, bao gồm:</w:t>
      </w:r>
    </w:p>
    <w:p w14:paraId="6D60BEF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Tiền lương, tiền công và các khoản có tính chất tiền lương, tiền công;</w:t>
      </w:r>
    </w:p>
    <w:p w14:paraId="338AFA9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 xml:space="preserve">b) Các khoản phụ cấp, trợ cấp, trừ các khoản: phụ cấp, trợ cấp theo quy định của pháp luật về ưu đãi người có công; phụ cấp quốc phòng, an ninh; phụ cấp độc hại, nguy hiểm đối với ngành, nghề hoặc công việc ở nơi làm việc có yếu tố độc hại, nguy hiểm; phụ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cấp hưu trí một lần, tiền tuất hàng tháng và các khoản trợ cấp khác theo quy định của pháp </w:t>
      </w:r>
      <w:r w:rsidRPr="00A731D1">
        <w:rPr>
          <w:rFonts w:ascii="Arial" w:eastAsia="Times New Roman" w:hAnsi="Arial" w:cs="Arial"/>
          <w:color w:val="000000"/>
          <w:sz w:val="18"/>
          <w:szCs w:val="18"/>
          <w:lang w:val="en-US" w:eastAsia="en-US"/>
        </w:rPr>
        <w:lastRenderedPageBreak/>
        <w:t>luật về bảo hiểm xã hội; trợ cấp thôi việc, trợ cấp mất việc làm theo quy định của Bộ luật lao động; trợ cấp mang tính chất bảo trợ xã hội và các khoản phụ cấp, trợ cấp khác không mang tính chất tiền lương, tiền công theo quy định của Chính phủ.</w:t>
      </w:r>
    </w:p>
    <w:p w14:paraId="75BBA22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Thu nhập từ đầu tư vốn, bao gồm:</w:t>
      </w:r>
    </w:p>
    <w:p w14:paraId="3A48C0A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Tiền lãi cho vay;</w:t>
      </w:r>
    </w:p>
    <w:p w14:paraId="1414BFA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Lợi tức cổ phần;</w:t>
      </w:r>
    </w:p>
    <w:p w14:paraId="7B087D5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 Thu nhập từ đầu tư vốn dưới các hình thức khác, trừ thu nhập từ lãi trái phiếu Chính phủ.</w:t>
      </w:r>
    </w:p>
    <w:p w14:paraId="0FBC99F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4. Thu nhập từ chuyển nhượng vốn, bao gồm:</w:t>
      </w:r>
    </w:p>
    <w:p w14:paraId="516B773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Thu nhập từ chuyển nhượng phần vốn trong các tổ chức kinh tế;</w:t>
      </w:r>
    </w:p>
    <w:p w14:paraId="22C954B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Thu nhập từ chuyển nhượng chứng khoán;</w:t>
      </w:r>
    </w:p>
    <w:p w14:paraId="20C2F0B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 Thu nhập từ chuyển nhượng vốn dưới các hình thức khác.</w:t>
      </w:r>
    </w:p>
    <w:p w14:paraId="7199F505"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5.</w:t>
      </w:r>
      <w:hyperlink r:id="rId11" w:anchor="_ftn4" w:history="1">
        <w:r w:rsidRPr="00A731D1">
          <w:rPr>
            <w:rFonts w:ascii="Arial" w:eastAsia="Times New Roman" w:hAnsi="Arial" w:cs="Arial"/>
            <w:color w:val="000000"/>
            <w:sz w:val="18"/>
            <w:szCs w:val="18"/>
            <w:u w:val="single"/>
            <w:lang w:val="en-US" w:eastAsia="en-US"/>
          </w:rPr>
          <w:t>4</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từ chuyển nhượng bất động sản, bao gồm:</w:t>
      </w:r>
    </w:p>
    <w:p w14:paraId="3A59BEC6"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Thu nhập từ chuyển nhượng quyền sử dụng đất và tài sản gắn liền với đất;</w:t>
      </w:r>
    </w:p>
    <w:p w14:paraId="1FF8727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Thu nhập từ chuyển nhượng quyền sở hữu hoặc sử dụng nhà ở;</w:t>
      </w:r>
    </w:p>
    <w:p w14:paraId="194B41F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 Thu nhập từ chuyển nhượng quyền thuê đất, quyền thuê mặt nước;</w:t>
      </w:r>
    </w:p>
    <w:p w14:paraId="772DEC8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d) Các khoản thu nhập khác nhận được từ chuyển nhượng bất động sản dưới mọi hình thức.</w:t>
      </w:r>
    </w:p>
    <w:p w14:paraId="37D6F9E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6. Thu nhập từ trúng thưởng, bao gồm:</w:t>
      </w:r>
    </w:p>
    <w:p w14:paraId="4D3E52F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Trúng thưởng xổ số;</w:t>
      </w:r>
    </w:p>
    <w:p w14:paraId="6B016FB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Trúng thưởng trong các hình thức khuyến mại;</w:t>
      </w:r>
    </w:p>
    <w:p w14:paraId="3128DE0F"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w:t>
      </w:r>
      <w:hyperlink r:id="rId12" w:anchor="_ftn5" w:history="1">
        <w:r w:rsidRPr="00A731D1">
          <w:rPr>
            <w:rFonts w:ascii="Arial" w:eastAsia="Times New Roman" w:hAnsi="Arial" w:cs="Arial"/>
            <w:color w:val="000000"/>
            <w:sz w:val="18"/>
            <w:szCs w:val="18"/>
            <w:u w:val="single"/>
            <w:lang w:val="en-US" w:eastAsia="en-US"/>
          </w:rPr>
          <w:t>5</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Trúng thưởng trong các hình thức cá cược;</w:t>
      </w:r>
    </w:p>
    <w:p w14:paraId="07DBC00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d) Trúng thưởng trong các trò chơi, cuộc thi có thưởng và các hình thức trúng thưởng khác.</w:t>
      </w:r>
    </w:p>
    <w:p w14:paraId="14630A4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7. Thu nhập từ bản quyền, bao gồm:</w:t>
      </w:r>
    </w:p>
    <w:p w14:paraId="368D82E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Thu nhập từ chuyển giao, chuyển quyền sử dụng các đối tượng của quyền sở hữu trí tuệ;</w:t>
      </w:r>
    </w:p>
    <w:p w14:paraId="6DE2EA1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Thu nhập từ chuyển giao công nghệ.</w:t>
      </w:r>
    </w:p>
    <w:p w14:paraId="353AA9C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8. Thu nhập từ nhượng quyền thương mại.</w:t>
      </w:r>
    </w:p>
    <w:p w14:paraId="269101A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9. Thu nhập từ nhận thừa kế là chứng khoán, phần vốn trong các tổ chức kinh tế, cơ sở kinh doanh, bất động sản và tài sản khác phải đăng ký sở hữu hoặc đăng ký sử dụng.</w:t>
      </w:r>
    </w:p>
    <w:p w14:paraId="23F937E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10. Thu nhập từ nhận quà tặng là chứng khoán, phần vốn trong các tổ chức kinh tế, cơ sở kinh doanh, bất động sản và tài sản khác phải đăng ký sở hữu hoặc đăng ký sử dụng.</w:t>
      </w:r>
    </w:p>
    <w:p w14:paraId="2AE1DF9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Chính phủ quy định chi tiết và hướng dẫn thi hành Điều này.</w:t>
      </w:r>
    </w:p>
    <w:p w14:paraId="364BCC25"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8" w:name="dieu_4"/>
      <w:r w:rsidRPr="00A731D1">
        <w:rPr>
          <w:rFonts w:ascii="Arial" w:eastAsia="Times New Roman" w:hAnsi="Arial" w:cs="Arial"/>
          <w:b/>
          <w:bCs/>
          <w:color w:val="000000"/>
          <w:sz w:val="18"/>
          <w:szCs w:val="18"/>
          <w:lang w:val="en-US" w:eastAsia="en-US"/>
        </w:rPr>
        <w:t>Điều 4. Thu nhập được miễn thuế</w:t>
      </w:r>
      <w:bookmarkEnd w:id="8"/>
    </w:p>
    <w:p w14:paraId="14E37FE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từ chuyển nhượng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14:paraId="76AFBB2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Thu nhập từ chuyển nhượng nhà ở, quyền sử dụng đất ở và tài sản gắn liền với đất ở của cá nhân trong trường hợp cá nhân chỉ có một nhà ở, đất ở duy nhất.</w:t>
      </w:r>
    </w:p>
    <w:p w14:paraId="4EABC45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Thu nhập từ giá trị quyền sử dụng đất của cá nhân được Nhà nước giao đất.</w:t>
      </w:r>
    </w:p>
    <w:p w14:paraId="2E995E6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4. Thu nhập từ nhận thừa kế, quà tặng là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14:paraId="4CC88DB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5. Thu nhập của hộ gia đình, cá nhân trực tiếp sản xuất nông nghiệp, lâm nghiệp, làm muối, nuôi trồng, đánh bắt thủy sản chưa qua chế biến thành các sản phẩm khác hoặc chỉ qua sơ chế thông thường.</w:t>
      </w:r>
    </w:p>
    <w:p w14:paraId="44F13A3C"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6. Thu nhập từ chuyển đổi đất nông nghiệp của hộ gia đình, cá nhân được Nhà nước giao để sản xuất.</w:t>
      </w:r>
    </w:p>
    <w:p w14:paraId="7553F5B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7. Thu nhập từ lãi tiền gửi tại tổ chức tín dụng, lãi từ hợp đồng bảo hiểm nhân thọ.</w:t>
      </w:r>
    </w:p>
    <w:p w14:paraId="3105AF1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8. Thu nhập từ kiều hối.</w:t>
      </w:r>
    </w:p>
    <w:p w14:paraId="4219ED5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lastRenderedPageBreak/>
        <w:t>9. Phần tiền lương làm việc ban đêm, làm thêm giờ được trả cao hơn so với tiền lương làm việc ban ngày, làm trong giờ theo quy định của pháp luật.</w:t>
      </w:r>
    </w:p>
    <w:p w14:paraId="77B2744C"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10.</w:t>
      </w:r>
      <w:hyperlink r:id="rId13" w:anchor="_ftn6" w:history="1">
        <w:r w:rsidRPr="00A731D1">
          <w:rPr>
            <w:rFonts w:ascii="Arial" w:eastAsia="Times New Roman" w:hAnsi="Arial" w:cs="Arial"/>
            <w:color w:val="000000"/>
            <w:sz w:val="18"/>
            <w:szCs w:val="18"/>
            <w:u w:val="single"/>
            <w:lang w:val="en-US" w:eastAsia="en-US"/>
          </w:rPr>
          <w:t>6</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Tiền lương hưu do Quỹ bảo hiểm xã hội chi trả; tiền lương hưu do quỹ hưu trí tự nguyện chi trả hàng tháng.</w:t>
      </w:r>
    </w:p>
    <w:p w14:paraId="14247E1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11. Thu nhập từ học bổng, bao gồm:</w:t>
      </w:r>
    </w:p>
    <w:p w14:paraId="5705591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Học bổng nhận được từ ngân sách nhà nước;</w:t>
      </w:r>
    </w:p>
    <w:p w14:paraId="0338D946"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Học bổng nhận được từ tổ chức trong nước và ngoài nước theo chương trình hỗ trợ khuyến học của tổ chức đó.</w:t>
      </w:r>
    </w:p>
    <w:p w14:paraId="36F4123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12. Thu nhập từ bồi thường hợp đồng bảo hiểm nhân thọ, phi nhân thọ, tiền bồi thường tai nạn lao động, khoản bồi thường nhà nước và các khoản bồi thường khác theo quy định của pháp luật.</w:t>
      </w:r>
    </w:p>
    <w:p w14:paraId="4C6AD1B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13. Thu nhập nhận được từ quỹ từ thiện được cơ quan nhà nước có thẩm quyền cho phép thành lập hoặc công nhận, hoạt động vì mục đích từ thiện, nhân đạo, không nhằm mục đích lợi nhuận.</w:t>
      </w:r>
    </w:p>
    <w:p w14:paraId="38FD651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14. Thu nhập nhận được từ nguồn viện trợ nước ngoài vì mục đích từ thiện, nhân đạo dưới hình thức chính phủ và phi chính phủ được cơ quan nhà nước có thẩm quyền phê duyệt.</w:t>
      </w:r>
    </w:p>
    <w:p w14:paraId="6C1C72A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15.</w:t>
      </w:r>
      <w:hyperlink r:id="rId14" w:anchor="_ftn7" w:history="1">
        <w:r w:rsidRPr="00A731D1">
          <w:rPr>
            <w:rFonts w:ascii="Arial" w:eastAsia="Times New Roman" w:hAnsi="Arial" w:cs="Arial"/>
            <w:color w:val="000000"/>
            <w:sz w:val="18"/>
            <w:szCs w:val="18"/>
            <w:u w:val="single"/>
            <w:lang w:val="en-US" w:eastAsia="en-US"/>
          </w:rPr>
          <w:t>7</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từ tiền lương, tiền công của thuyền viên là người Việt Nam làm việc cho các hãng tàu nước ngoài hoặc các hãng tàu Việt Nam vận tải quốc tế.</w:t>
      </w:r>
    </w:p>
    <w:p w14:paraId="1A686E0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16.</w:t>
      </w:r>
      <w:hyperlink r:id="rId15" w:anchor="_ftn8" w:history="1">
        <w:r w:rsidRPr="00A731D1">
          <w:rPr>
            <w:rFonts w:ascii="Arial" w:eastAsia="Times New Roman" w:hAnsi="Arial" w:cs="Arial"/>
            <w:color w:val="000000"/>
            <w:sz w:val="18"/>
            <w:szCs w:val="18"/>
            <w:u w:val="single"/>
            <w:lang w:val="en-US" w:eastAsia="en-US"/>
          </w:rPr>
          <w:t>8</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của cá nhân là chủ tàu, cá nhân có quyền sử dụng tàu và cá nhân làm việc trên tàu từ hoạt động cung cấp hàng hóa, dịch vụ trực tiếp phục vụ hoạt động khai thác, đánh bắt thủy sản xa bờ.</w:t>
      </w:r>
    </w:p>
    <w:p w14:paraId="3352D7D8"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9" w:name="dieu_5"/>
      <w:r w:rsidRPr="00A731D1">
        <w:rPr>
          <w:rFonts w:ascii="Arial" w:eastAsia="Times New Roman" w:hAnsi="Arial" w:cs="Arial"/>
          <w:b/>
          <w:bCs/>
          <w:color w:val="000000"/>
          <w:sz w:val="18"/>
          <w:szCs w:val="18"/>
          <w:lang w:val="en-US" w:eastAsia="en-US"/>
        </w:rPr>
        <w:t>Điều 5. Giảm thuế</w:t>
      </w:r>
      <w:bookmarkEnd w:id="9"/>
    </w:p>
    <w:p w14:paraId="0C2F3B4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Đối tượng nộp thuế gặp khó khăn do thiên tai, hỏa hoạn, tai nạn, bệnh hiểm nghèo ảnh hưởng đến khả năng nộp thuế thì được xét giảm thuế tương ứng với mức độ thiệt hại nhưng không vượt quá số thuế phải nộp.</w:t>
      </w:r>
    </w:p>
    <w:p w14:paraId="0B0118E3"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0" w:name="dieu_6"/>
      <w:r w:rsidRPr="00A731D1">
        <w:rPr>
          <w:rFonts w:ascii="Arial" w:eastAsia="Times New Roman" w:hAnsi="Arial" w:cs="Arial"/>
          <w:b/>
          <w:bCs/>
          <w:color w:val="000000"/>
          <w:sz w:val="18"/>
          <w:szCs w:val="18"/>
          <w:lang w:val="en-US" w:eastAsia="en-US"/>
        </w:rPr>
        <w:t>Điều 6. Quy đổi thu nhập chịu thuế ra Đồng Việt Nam</w:t>
      </w:r>
      <w:bookmarkEnd w:id="10"/>
    </w:p>
    <w:p w14:paraId="44248200"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w:t>
      </w:r>
      <w:hyperlink r:id="rId16" w:anchor="_ftn9" w:history="1">
        <w:r w:rsidRPr="00A731D1">
          <w:rPr>
            <w:rFonts w:ascii="Arial" w:eastAsia="Times New Roman" w:hAnsi="Arial" w:cs="Arial"/>
            <w:color w:val="000000"/>
            <w:sz w:val="18"/>
            <w:szCs w:val="18"/>
            <w:u w:val="single"/>
            <w:lang w:val="en-US" w:eastAsia="en-US"/>
          </w:rPr>
          <w:t>9</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chịu thuế nhận được bằng ngoại tệ phải được quy đổi ra Đồng Việt Nam theo tỷ giá giao dịch bình quân trên thị trường ngoại tệ liên ngân hàng do Ngân hàng Nhà nước Việt Nam công bố tại thời điểm phát sinh thu nhập.</w:t>
      </w:r>
    </w:p>
    <w:p w14:paraId="479C030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Thu nhập chịu thuế nhận được không bằng tiền phải được quy đổi ra Đồng Việt Nam theo giá thị trường của sản phẩm, dịch vụ đó hoặc sản phẩm, dịch vụ cùng loại hoặc tương đương tại thời điểm phát sinh thu nhập.</w:t>
      </w:r>
    </w:p>
    <w:p w14:paraId="472E0DBF"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1" w:name="dieu_7"/>
      <w:r w:rsidRPr="00A731D1">
        <w:rPr>
          <w:rFonts w:ascii="Arial" w:eastAsia="Times New Roman" w:hAnsi="Arial" w:cs="Arial"/>
          <w:b/>
          <w:bCs/>
          <w:color w:val="000000"/>
          <w:sz w:val="18"/>
          <w:szCs w:val="18"/>
          <w:lang w:val="en-US" w:eastAsia="en-US"/>
        </w:rPr>
        <w:t>Điều 7. Kỳ tính thuế</w:t>
      </w:r>
      <w:bookmarkEnd w:id="11"/>
    </w:p>
    <w:p w14:paraId="4CD2342C"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Kỳ tính thuế đối với cá nhân cư trú được quy định như sau:</w:t>
      </w:r>
    </w:p>
    <w:p w14:paraId="3728696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Kỳ tính thuế theo năm áp dụng đối với thu nhập từ kinh doanh; thu nhập từ tiền lương, tiền công;</w:t>
      </w:r>
    </w:p>
    <w:p w14:paraId="245F8F9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Kỳ tính thuế theo từng lần phát sinh thu nhập áp dụng đối với thu nhập từ đầu tư vốn; thu nhập từ chuyển nhượng vốn, trừ thu nhập từ chuyển nhượng chứng khoán; thu nhập từ chuyển nhượng bất động sản; thu nhập từ trúng thưởng; thu nhập từ bản quyền; thu nhập từ nhượng quyền thương mại; thu nhập từ thừa kế; thu nhập từ quà tặng;</w:t>
      </w:r>
    </w:p>
    <w:p w14:paraId="0113AC02"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w:t>
      </w:r>
      <w:hyperlink r:id="rId17" w:anchor="_ftn10" w:history="1">
        <w:r w:rsidRPr="00A731D1">
          <w:rPr>
            <w:rFonts w:ascii="Arial" w:eastAsia="Times New Roman" w:hAnsi="Arial" w:cs="Arial"/>
            <w:color w:val="000000"/>
            <w:sz w:val="18"/>
            <w:szCs w:val="18"/>
            <w:u w:val="single"/>
            <w:lang w:val="en-US" w:eastAsia="en-US"/>
          </w:rPr>
          <w:t>10</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Kỳ tính thuế theo từng lần chuyển nhượng hoặc theo năm đối với thu nhập từ chuyển nhượng chứng khoán.</w:t>
      </w:r>
    </w:p>
    <w:p w14:paraId="6ABA85A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Kỳ tính thuế đối với cá nhân không cư trú được tính theo từng lần phát sinh thu nhập áp dụng đối với tất cả thu nhập chịu thuế</w:t>
      </w:r>
      <w:r w:rsidRPr="00A731D1">
        <w:rPr>
          <w:rFonts w:ascii="Arial" w:eastAsia="Times New Roman" w:hAnsi="Arial" w:cs="Arial"/>
          <w:i/>
          <w:iCs/>
          <w:color w:val="000000"/>
          <w:sz w:val="18"/>
          <w:szCs w:val="18"/>
          <w:lang w:val="en-US" w:eastAsia="en-US"/>
        </w:rPr>
        <w:t>.</w:t>
      </w:r>
    </w:p>
    <w:p w14:paraId="10A5D846"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2" w:name="dieu_8"/>
      <w:r w:rsidRPr="00A731D1">
        <w:rPr>
          <w:rFonts w:ascii="Arial" w:eastAsia="Times New Roman" w:hAnsi="Arial" w:cs="Arial"/>
          <w:b/>
          <w:bCs/>
          <w:color w:val="000000"/>
          <w:sz w:val="18"/>
          <w:szCs w:val="18"/>
          <w:lang w:val="en-US" w:eastAsia="en-US"/>
        </w:rPr>
        <w:t>Điều 8. Quản lý thuế và hoàn thuế</w:t>
      </w:r>
      <w:bookmarkEnd w:id="12"/>
    </w:p>
    <w:p w14:paraId="45669F6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Việc đăng ký thuế, kê khai, khấu trừ thuế, nộp thuế, quyết toán thuế, hoàn thuế, xử lý vi phạm pháp luật về thuế và các biện pháp quản lý thuế được thực hiện theo quy định của pháp luật về quản lý thuế.</w:t>
      </w:r>
    </w:p>
    <w:p w14:paraId="0CFD8E6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Cá nhân được hoàn thuế trong các trường hợp sau đây:</w:t>
      </w:r>
    </w:p>
    <w:p w14:paraId="764BEAE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Số tiền thuế đã nộp lớn hơn số thuế phải nộp;</w:t>
      </w:r>
    </w:p>
    <w:p w14:paraId="597FFE6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Cá nhân đã nộp thuế nhưng có thu nhập tính thuế chưa đến mức phải nộp thuế;</w:t>
      </w:r>
    </w:p>
    <w:p w14:paraId="1E4EB45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 Các trường hợp khác theo quyết định của cơ quan nhà nước có thẩm quyền.</w:t>
      </w:r>
    </w:p>
    <w:p w14:paraId="4C68628A"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3" w:name="dieu_9"/>
      <w:r w:rsidRPr="00A731D1">
        <w:rPr>
          <w:rFonts w:ascii="Arial" w:eastAsia="Times New Roman" w:hAnsi="Arial" w:cs="Arial"/>
          <w:b/>
          <w:bCs/>
          <w:color w:val="000000"/>
          <w:sz w:val="18"/>
          <w:szCs w:val="18"/>
          <w:lang w:val="en-US" w:eastAsia="en-US"/>
        </w:rPr>
        <w:t>Điều 9. Áp dụng điều ước quốc tế</w:t>
      </w:r>
      <w:bookmarkEnd w:id="13"/>
    </w:p>
    <w:p w14:paraId="5B991D2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Trường hợp điều ước quốc tế mà Cộng hòa xã hội chủ nghĩa Việt Nam là thành viên có quy định về thuế thu nhập cá nhân khác với quy định của Luật này thì áp dụng quy định của điều ước quốc tế đó.</w:t>
      </w:r>
    </w:p>
    <w:p w14:paraId="1C012769"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4" w:name="chuong_2"/>
      <w:r w:rsidRPr="00A731D1">
        <w:rPr>
          <w:rFonts w:ascii="Arial" w:eastAsia="Times New Roman" w:hAnsi="Arial" w:cs="Arial"/>
          <w:b/>
          <w:bCs/>
          <w:color w:val="000000"/>
          <w:sz w:val="18"/>
          <w:szCs w:val="18"/>
          <w:lang w:val="en-US" w:eastAsia="en-US"/>
        </w:rPr>
        <w:t>Chương II</w:t>
      </w:r>
      <w:bookmarkEnd w:id="14"/>
    </w:p>
    <w:p w14:paraId="7351955F"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15" w:name="chuong_2_name"/>
      <w:r w:rsidRPr="00A731D1">
        <w:rPr>
          <w:rFonts w:ascii="Arial" w:eastAsia="Times New Roman" w:hAnsi="Arial" w:cs="Arial"/>
          <w:b/>
          <w:bCs/>
          <w:color w:val="000000"/>
          <w:sz w:val="24"/>
          <w:szCs w:val="24"/>
          <w:lang w:val="en-US" w:eastAsia="en-US"/>
        </w:rPr>
        <w:t>CĂN CỨ TÍNH THUẾ ĐỐI VỚI CÁ NHÂN CƯ TRÚ</w:t>
      </w:r>
      <w:bookmarkEnd w:id="15"/>
    </w:p>
    <w:p w14:paraId="1BDC607D"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6" w:name="muc_1"/>
      <w:r w:rsidRPr="00A731D1">
        <w:rPr>
          <w:rFonts w:ascii="Arial" w:eastAsia="Times New Roman" w:hAnsi="Arial" w:cs="Arial"/>
          <w:b/>
          <w:bCs/>
          <w:color w:val="000000"/>
          <w:sz w:val="18"/>
          <w:szCs w:val="18"/>
          <w:lang w:val="en-US" w:eastAsia="en-US"/>
        </w:rPr>
        <w:t>Mục 1. XÁC ĐỊNH THU NHẬP CHỊU THUẾ VÀ THU NHẬP TÍNH THUẾ</w:t>
      </w:r>
      <w:bookmarkEnd w:id="16"/>
    </w:p>
    <w:p w14:paraId="706E625D"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7" w:name="dieu_10"/>
      <w:r w:rsidRPr="00A731D1">
        <w:rPr>
          <w:rFonts w:ascii="Arial" w:eastAsia="Times New Roman" w:hAnsi="Arial" w:cs="Arial"/>
          <w:b/>
          <w:bCs/>
          <w:color w:val="000000"/>
          <w:sz w:val="18"/>
          <w:szCs w:val="18"/>
          <w:lang w:val="en-US" w:eastAsia="en-US"/>
        </w:rPr>
        <w:t>Điều 10. Thuế đối với cá nhân kinh doanh</w:t>
      </w:r>
      <w:bookmarkEnd w:id="17"/>
      <w:r w:rsidRPr="00A731D1">
        <w:rPr>
          <w:rFonts w:ascii="Arial" w:eastAsia="Times New Roman" w:hAnsi="Arial" w:cs="Arial"/>
          <w:color w:val="000000"/>
          <w:sz w:val="18"/>
          <w:szCs w:val="18"/>
          <w:lang w:val="en-US" w:eastAsia="en-US"/>
        </w:rPr>
        <w:fldChar w:fldCharType="begin"/>
      </w:r>
      <w:r w:rsidRPr="00A731D1">
        <w:rPr>
          <w:rFonts w:ascii="Arial" w:eastAsia="Times New Roman" w:hAnsi="Arial" w:cs="Arial"/>
          <w:color w:val="000000"/>
          <w:sz w:val="18"/>
          <w:szCs w:val="18"/>
          <w:lang w:val="en-US" w:eastAsia="en-US"/>
        </w:rPr>
        <w:instrText xml:space="preserve"> HYPERLINK "https://thuvienphapluat.vn/van-ban/Thue-Phi-Le-Phi/Van-ban-hop-nhat-15-VBHN-VPQH-2014-hop-nhat-Luat-thue-thu-nhap-ca-nhan-264500.aspx" \l "_ftn11" \o "" </w:instrText>
      </w:r>
      <w:r w:rsidRPr="00A731D1">
        <w:rPr>
          <w:rFonts w:ascii="Arial" w:eastAsia="Times New Roman" w:hAnsi="Arial" w:cs="Arial"/>
          <w:color w:val="000000"/>
          <w:sz w:val="18"/>
          <w:szCs w:val="18"/>
          <w:lang w:val="en-US" w:eastAsia="en-US"/>
        </w:rPr>
        <w:fldChar w:fldCharType="separate"/>
      </w:r>
      <w:r w:rsidRPr="00A731D1">
        <w:rPr>
          <w:rFonts w:ascii="Arial" w:eastAsia="Times New Roman" w:hAnsi="Arial" w:cs="Arial"/>
          <w:b/>
          <w:bCs/>
          <w:color w:val="000000"/>
          <w:sz w:val="18"/>
          <w:szCs w:val="18"/>
          <w:u w:val="single"/>
          <w:lang w:val="en-US" w:eastAsia="en-US"/>
        </w:rPr>
        <w:t>11</w:t>
      </w:r>
      <w:r w:rsidRPr="00A731D1">
        <w:rPr>
          <w:rFonts w:ascii="Arial" w:eastAsia="Times New Roman" w:hAnsi="Arial" w:cs="Arial"/>
          <w:color w:val="000000"/>
          <w:sz w:val="18"/>
          <w:szCs w:val="18"/>
          <w:lang w:val="en-US" w:eastAsia="en-US"/>
        </w:rPr>
        <w:fldChar w:fldCharType="end"/>
      </w:r>
    </w:p>
    <w:p w14:paraId="55C08A8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lastRenderedPageBreak/>
        <w:t>1. Cá nhân kinh doanh nộp thuế thu nhập cá nhân theo tỷ lệ trên doanh thu đối với từng lĩnh vực, ngành nghề sản xuất, kinh doanh.</w:t>
      </w:r>
    </w:p>
    <w:p w14:paraId="568E9FD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Doanh thu là toàn bộ tiền bán hàng, tiền gia công, tiền hoa hồng, tiền cung ứng dịch vụ phát sinh trong kỳ tính thuế từ các hoạt động sản xuất, kinh doanh hàng hóa, dịch vụ.</w:t>
      </w:r>
    </w:p>
    <w:p w14:paraId="3896527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Trường hợp cá nhân kinh doanh không xác định được doanh thu thì cơ quan thuế có thẩm quyền ấn định doanh thu theo quy định của pháp luật về quản lý thuế.</w:t>
      </w:r>
    </w:p>
    <w:p w14:paraId="79E79AB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Thuế suất:</w:t>
      </w:r>
    </w:p>
    <w:p w14:paraId="4528453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Phân phối, cung cấp hàng hóa: 0,5%;</w:t>
      </w:r>
    </w:p>
    <w:p w14:paraId="34F5035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Dịch vụ, xây dựng không bao thầu nguyên vật liệu: 2%.</w:t>
      </w:r>
    </w:p>
    <w:p w14:paraId="368CD8D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Riêng hoạt động cho thuê tài sản, đại lý bảo hiểm, đại lý xổ số, đại lý bán hàng đa cấp: 5%;</w:t>
      </w:r>
    </w:p>
    <w:p w14:paraId="5467CCE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 Sản xuất, vận tải, dịch vụ có gắn với hàng hóa, xây dựng có bao thầu nguyên vật liệu: 1,5%;</w:t>
      </w:r>
    </w:p>
    <w:p w14:paraId="2D2DA6F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d) Hoạt động kinh doanh khác: 1%.</w:t>
      </w:r>
    </w:p>
    <w:p w14:paraId="4B6B5022"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8" w:name="dieu_11"/>
      <w:r w:rsidRPr="00A731D1">
        <w:rPr>
          <w:rFonts w:ascii="Arial" w:eastAsia="Times New Roman" w:hAnsi="Arial" w:cs="Arial"/>
          <w:b/>
          <w:bCs/>
          <w:color w:val="000000"/>
          <w:sz w:val="18"/>
          <w:szCs w:val="18"/>
          <w:lang w:val="en-US" w:eastAsia="en-US"/>
        </w:rPr>
        <w:t>Điều 11. Thu nhập chịu thuế từ tiền lương, tiền công</w:t>
      </w:r>
      <w:bookmarkEnd w:id="18"/>
    </w:p>
    <w:p w14:paraId="6EEE129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tiền lương, tiền công được xác định bằng tổng số thu nhập quy định tại khoản 2 Điều 3 của Luật này mà đối tượng nộp thuế nhận được trong kỳ tính thuế.</w:t>
      </w:r>
    </w:p>
    <w:p w14:paraId="3E4C672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tiền lương, tiền công là thời điểm tổ chức, cá nhân trả thu nhập cho đối tượng nộp thuế hoặc thời điểm đối tượng nộp thuế nhận được thu nhập.</w:t>
      </w:r>
    </w:p>
    <w:p w14:paraId="141E087B"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19" w:name="dieu_12"/>
      <w:r w:rsidRPr="00A731D1">
        <w:rPr>
          <w:rFonts w:ascii="Arial" w:eastAsia="Times New Roman" w:hAnsi="Arial" w:cs="Arial"/>
          <w:b/>
          <w:bCs/>
          <w:color w:val="000000"/>
          <w:sz w:val="18"/>
          <w:szCs w:val="18"/>
          <w:lang w:val="en-US" w:eastAsia="en-US"/>
        </w:rPr>
        <w:t>Điều 12. Thu nhập chịu thuế từ đầu tư vốn</w:t>
      </w:r>
      <w:bookmarkEnd w:id="19"/>
    </w:p>
    <w:p w14:paraId="5F380AD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đầu tư vốn là tổng số các khoản thu nhập từ đầu tư vốn quy định tại khoản 3 Điều 3 của Luật này mà đối tượng nộp thuế nhận được trong kỳ tính thuế.</w:t>
      </w:r>
    </w:p>
    <w:p w14:paraId="0404776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đầu tư vốn là thời điểm tổ chức, cá nhân trả thu nhập cho đối tượng nộp thuế hoặc thời điểm đối tượng nộp thuế nhận được thu nhập.</w:t>
      </w:r>
    </w:p>
    <w:p w14:paraId="3A658515"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0" w:name="dieu_13"/>
      <w:r w:rsidRPr="00A731D1">
        <w:rPr>
          <w:rFonts w:ascii="Arial" w:eastAsia="Times New Roman" w:hAnsi="Arial" w:cs="Arial"/>
          <w:b/>
          <w:bCs/>
          <w:color w:val="000000"/>
          <w:sz w:val="18"/>
          <w:szCs w:val="18"/>
          <w:lang w:val="en-US" w:eastAsia="en-US"/>
        </w:rPr>
        <w:t>Điều 13. Thu nhập chịu thuế từ chuyển nhượng vốn</w:t>
      </w:r>
      <w:bookmarkEnd w:id="20"/>
      <w:r w:rsidRPr="00A731D1">
        <w:rPr>
          <w:rFonts w:ascii="Arial" w:eastAsia="Times New Roman" w:hAnsi="Arial" w:cs="Arial"/>
          <w:color w:val="000000"/>
          <w:sz w:val="18"/>
          <w:szCs w:val="18"/>
          <w:lang w:val="en-US" w:eastAsia="en-US"/>
        </w:rPr>
        <w:fldChar w:fldCharType="begin"/>
      </w:r>
      <w:r w:rsidRPr="00A731D1">
        <w:rPr>
          <w:rFonts w:ascii="Arial" w:eastAsia="Times New Roman" w:hAnsi="Arial" w:cs="Arial"/>
          <w:color w:val="000000"/>
          <w:sz w:val="18"/>
          <w:szCs w:val="18"/>
          <w:lang w:val="en-US" w:eastAsia="en-US"/>
        </w:rPr>
        <w:instrText xml:space="preserve"> HYPERLINK "https://thuvienphapluat.vn/van-ban/Thue-Phi-Le-Phi/Van-ban-hop-nhat-15-VBHN-VPQH-2014-hop-nhat-Luat-thue-thu-nhap-ca-nhan-264500.aspx" \l "_ftn12" \o "" </w:instrText>
      </w:r>
      <w:r w:rsidRPr="00A731D1">
        <w:rPr>
          <w:rFonts w:ascii="Arial" w:eastAsia="Times New Roman" w:hAnsi="Arial" w:cs="Arial"/>
          <w:color w:val="000000"/>
          <w:sz w:val="18"/>
          <w:szCs w:val="18"/>
          <w:lang w:val="en-US" w:eastAsia="en-US"/>
        </w:rPr>
        <w:fldChar w:fldCharType="separate"/>
      </w:r>
      <w:r w:rsidRPr="00A731D1">
        <w:rPr>
          <w:rFonts w:ascii="Arial" w:eastAsia="Times New Roman" w:hAnsi="Arial" w:cs="Arial"/>
          <w:b/>
          <w:bCs/>
          <w:color w:val="000000"/>
          <w:sz w:val="18"/>
          <w:szCs w:val="18"/>
          <w:u w:val="single"/>
          <w:lang w:val="en-US" w:eastAsia="en-US"/>
        </w:rPr>
        <w:t>12</w:t>
      </w:r>
      <w:r w:rsidRPr="00A731D1">
        <w:rPr>
          <w:rFonts w:ascii="Arial" w:eastAsia="Times New Roman" w:hAnsi="Arial" w:cs="Arial"/>
          <w:color w:val="000000"/>
          <w:sz w:val="18"/>
          <w:szCs w:val="18"/>
          <w:lang w:val="en-US" w:eastAsia="en-US"/>
        </w:rPr>
        <w:fldChar w:fldCharType="end"/>
      </w:r>
    </w:p>
    <w:p w14:paraId="63AF483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chuyển nhượng vốn được xác định bằng giá bán trừ giá mua và các khoản chi phí hợp lý liên quan đến việc tạo ra thu nhập từ chuyển nhượng vốn.</w:t>
      </w:r>
    </w:p>
    <w:p w14:paraId="5672AB7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Đối với hoạt động chuyển nhượng chứng khoán, thu nhập chịu thuế được xác định là giá chuyển nhượng từng lần.</w:t>
      </w:r>
    </w:p>
    <w:p w14:paraId="0829D32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chuyển nhượng vốn là thời điểm giao dịch chuyển nhượng vốn hoàn thành theo quy định của pháp luật.</w:t>
      </w:r>
    </w:p>
    <w:p w14:paraId="479517A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Chính phủ quy định chi tiết và hướng dẫn thi hành Điều này.</w:t>
      </w:r>
    </w:p>
    <w:p w14:paraId="3DB8BE14"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1" w:name="dieu_14"/>
      <w:r w:rsidRPr="00A731D1">
        <w:rPr>
          <w:rFonts w:ascii="Arial" w:eastAsia="Times New Roman" w:hAnsi="Arial" w:cs="Arial"/>
          <w:b/>
          <w:bCs/>
          <w:color w:val="000000"/>
          <w:sz w:val="18"/>
          <w:szCs w:val="18"/>
          <w:lang w:val="en-US" w:eastAsia="en-US"/>
        </w:rPr>
        <w:t>Điều 14. Thu nhập chịu thuế từ chuyển nhượng bất động sản</w:t>
      </w:r>
      <w:bookmarkEnd w:id="21"/>
      <w:r w:rsidRPr="00A731D1">
        <w:rPr>
          <w:rFonts w:ascii="Arial" w:eastAsia="Times New Roman" w:hAnsi="Arial" w:cs="Arial"/>
          <w:color w:val="000000"/>
          <w:sz w:val="18"/>
          <w:szCs w:val="18"/>
          <w:lang w:val="en-US" w:eastAsia="en-US"/>
        </w:rPr>
        <w:fldChar w:fldCharType="begin"/>
      </w:r>
      <w:r w:rsidRPr="00A731D1">
        <w:rPr>
          <w:rFonts w:ascii="Arial" w:eastAsia="Times New Roman" w:hAnsi="Arial" w:cs="Arial"/>
          <w:color w:val="000000"/>
          <w:sz w:val="18"/>
          <w:szCs w:val="18"/>
          <w:lang w:val="en-US" w:eastAsia="en-US"/>
        </w:rPr>
        <w:instrText xml:space="preserve"> HYPERLINK "https://thuvienphapluat.vn/van-ban/Thue-Phi-Le-Phi/Van-ban-hop-nhat-15-VBHN-VPQH-2014-hop-nhat-Luat-thue-thu-nhap-ca-nhan-264500.aspx" \l "_ftn13" \o "" </w:instrText>
      </w:r>
      <w:r w:rsidRPr="00A731D1">
        <w:rPr>
          <w:rFonts w:ascii="Arial" w:eastAsia="Times New Roman" w:hAnsi="Arial" w:cs="Arial"/>
          <w:color w:val="000000"/>
          <w:sz w:val="18"/>
          <w:szCs w:val="18"/>
          <w:lang w:val="en-US" w:eastAsia="en-US"/>
        </w:rPr>
        <w:fldChar w:fldCharType="separate"/>
      </w:r>
      <w:r w:rsidRPr="00A731D1">
        <w:rPr>
          <w:rFonts w:ascii="Arial" w:eastAsia="Times New Roman" w:hAnsi="Arial" w:cs="Arial"/>
          <w:b/>
          <w:bCs/>
          <w:color w:val="000000"/>
          <w:sz w:val="18"/>
          <w:szCs w:val="18"/>
          <w:u w:val="single"/>
          <w:lang w:val="en-US" w:eastAsia="en-US"/>
        </w:rPr>
        <w:t>13</w:t>
      </w:r>
      <w:r w:rsidRPr="00A731D1">
        <w:rPr>
          <w:rFonts w:ascii="Arial" w:eastAsia="Times New Roman" w:hAnsi="Arial" w:cs="Arial"/>
          <w:color w:val="000000"/>
          <w:sz w:val="18"/>
          <w:szCs w:val="18"/>
          <w:lang w:val="en-US" w:eastAsia="en-US"/>
        </w:rPr>
        <w:fldChar w:fldCharType="end"/>
      </w:r>
    </w:p>
    <w:p w14:paraId="7360D46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chuyển nhượng bất động sản được xác định là giá chuyển nhượng từng lần.</w:t>
      </w:r>
    </w:p>
    <w:p w14:paraId="64C0D2F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Chính phủ quy định nguyên tắc, phương pháp xác định giá chuyển nhượng bất động sản.</w:t>
      </w:r>
    </w:p>
    <w:p w14:paraId="546A81C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Thời điểm xác định thu nhập chịu thuế từ chuyển nhượng bất động sản là thời điểm hợp đồng chuyển nhượng có hiệu lực theo quy định của pháp luật.</w:t>
      </w:r>
    </w:p>
    <w:p w14:paraId="1501C201"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2" w:name="dieu_15"/>
      <w:r w:rsidRPr="00A731D1">
        <w:rPr>
          <w:rFonts w:ascii="Arial" w:eastAsia="Times New Roman" w:hAnsi="Arial" w:cs="Arial"/>
          <w:b/>
          <w:bCs/>
          <w:color w:val="000000"/>
          <w:sz w:val="18"/>
          <w:szCs w:val="18"/>
          <w:lang w:val="en-US" w:eastAsia="en-US"/>
        </w:rPr>
        <w:t>Điều 15. Thu nhập chịu thuế từ trúng thưởng</w:t>
      </w:r>
      <w:bookmarkEnd w:id="22"/>
    </w:p>
    <w:p w14:paraId="7F7C6CD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trúng thưởng là phần giá trị giải thưởng vượt trên 10 triệu đồng mà đối tượng nộp thuế nhận được theo từng lần trúng thưởng.</w:t>
      </w:r>
    </w:p>
    <w:p w14:paraId="6369459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trúng thưởng là thời điểm tổ chức, cá nhân trả thu nhập cho đối tượng nộp thuế.</w:t>
      </w:r>
    </w:p>
    <w:p w14:paraId="589F432A"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3" w:name="dieu_16"/>
      <w:r w:rsidRPr="00A731D1">
        <w:rPr>
          <w:rFonts w:ascii="Arial" w:eastAsia="Times New Roman" w:hAnsi="Arial" w:cs="Arial"/>
          <w:b/>
          <w:bCs/>
          <w:color w:val="000000"/>
          <w:sz w:val="18"/>
          <w:szCs w:val="18"/>
          <w:lang w:val="en-US" w:eastAsia="en-US"/>
        </w:rPr>
        <w:t>Điều 16. Thu nhập chịu thuế từ bản quyền</w:t>
      </w:r>
      <w:bookmarkEnd w:id="23"/>
    </w:p>
    <w:p w14:paraId="70E07A8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bản quyền là phần thu nhập vượt trên 10 triệu đồng mà đối tượng nộp thuế nhận được khi chuyển giao, chuyển quyền sử dụng các đối tượng của quyền sở hữu trí tuệ, chuyển giao công nghệ theo từng hợp đồng.</w:t>
      </w:r>
    </w:p>
    <w:p w14:paraId="6EC93F7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bản quyền là thời điểm tổ chức, cá nhân trả thu nhập cho đối tượng nộp thuế.</w:t>
      </w:r>
    </w:p>
    <w:p w14:paraId="3994C1E0"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4" w:name="dieu_17"/>
      <w:r w:rsidRPr="00A731D1">
        <w:rPr>
          <w:rFonts w:ascii="Arial" w:eastAsia="Times New Roman" w:hAnsi="Arial" w:cs="Arial"/>
          <w:b/>
          <w:bCs/>
          <w:color w:val="000000"/>
          <w:sz w:val="18"/>
          <w:szCs w:val="18"/>
          <w:lang w:val="en-US" w:eastAsia="en-US"/>
        </w:rPr>
        <w:t>Điều 17. Thu nhập chịu thuế từ nhượng quyền thương mại</w:t>
      </w:r>
      <w:bookmarkEnd w:id="24"/>
    </w:p>
    <w:p w14:paraId="1ADE7BC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lastRenderedPageBreak/>
        <w:t>1. Thu nhập chịu thuế từ nhượng quyền thương mại là phần thu nhập vượt trên 10 triệu đồng mà đối tượng nộp thuế nhận được theo từng hợp đồng nhượng quyền thương mại.</w:t>
      </w:r>
    </w:p>
    <w:p w14:paraId="643F4D1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từ nhượng quyền thương mại là thời điểm tổ chức, cá nhân trả thu nhập cho đối tượng nộp thuế.</w:t>
      </w:r>
    </w:p>
    <w:p w14:paraId="6B7E7134"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5" w:name="dieu_18"/>
      <w:r w:rsidRPr="00A731D1">
        <w:rPr>
          <w:rFonts w:ascii="Arial" w:eastAsia="Times New Roman" w:hAnsi="Arial" w:cs="Arial"/>
          <w:b/>
          <w:bCs/>
          <w:color w:val="000000"/>
          <w:sz w:val="18"/>
          <w:szCs w:val="18"/>
          <w:lang w:val="en-US" w:eastAsia="en-US"/>
        </w:rPr>
        <w:t>Điều 18. Thu nhập chịu thuế từ thừa kế, quà tặng</w:t>
      </w:r>
      <w:bookmarkEnd w:id="25"/>
    </w:p>
    <w:p w14:paraId="6CC9DB0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Thu nhập chịu thuế từ thừa kế, quà tặng là phần giá trị tài sản thừa kế, quà tặng vượt trên 10 triệu đồng mà đối tượng nộp thuế nhận được theo từng lần phát sinh.</w:t>
      </w:r>
    </w:p>
    <w:p w14:paraId="16E3FD8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Thời điểm xác định thu nhập chịu thuế được quy định như sau:</w:t>
      </w:r>
    </w:p>
    <w:p w14:paraId="4380D14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Đối với thu nhập từ thừa kế là thời điểm đối tượng nộp thuế nhận được thừa kế;</w:t>
      </w:r>
    </w:p>
    <w:p w14:paraId="3FE91FA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Đối với thu nhập từ quà tặng là thời điểm tổ chức, cá nhân tặng cho đối tượng nộp thuế hoặc thời điểm đối tượng nộp thuế nhận được thu nhập.</w:t>
      </w:r>
    </w:p>
    <w:p w14:paraId="6D6F3BFA"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6" w:name="dieu_19"/>
      <w:r w:rsidRPr="00A731D1">
        <w:rPr>
          <w:rFonts w:ascii="Arial" w:eastAsia="Times New Roman" w:hAnsi="Arial" w:cs="Arial"/>
          <w:b/>
          <w:bCs/>
          <w:color w:val="000000"/>
          <w:sz w:val="18"/>
          <w:szCs w:val="18"/>
          <w:lang w:val="en-US" w:eastAsia="en-US"/>
        </w:rPr>
        <w:t>Điều 19. Giảm trừ gia cảnh</w:t>
      </w:r>
      <w:bookmarkEnd w:id="26"/>
    </w:p>
    <w:p w14:paraId="5F5CD384"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w:t>
      </w:r>
      <w:hyperlink r:id="rId18" w:anchor="_ftn14" w:history="1">
        <w:r w:rsidRPr="00A731D1">
          <w:rPr>
            <w:rFonts w:ascii="Arial" w:eastAsia="Times New Roman" w:hAnsi="Arial" w:cs="Arial"/>
            <w:color w:val="000000"/>
            <w:sz w:val="18"/>
            <w:szCs w:val="18"/>
            <w:u w:val="single"/>
            <w:lang w:val="en-US" w:eastAsia="en-US"/>
          </w:rPr>
          <w:t>14</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Giảm trừ gia cảnh là số tiền được trừ vào thu nhập chịu thuế trước khi tính thuế đối với thu nhập từ kinh doanh, tiền lương, tiền công của đối tượng nộp thuế là cá nhân cư trú. Giảm trừ gia cảnh gồm hai phần sau đây:</w:t>
      </w:r>
    </w:p>
    <w:p w14:paraId="072B45CC"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Mức giảm trừ đối với đối tượng nộp thuế là 9 triệu đồng/tháng (108 triệu đồng/năm);</w:t>
      </w:r>
    </w:p>
    <w:p w14:paraId="22216A9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Mức giảm trừ đối với mỗi người phụ thuộc là 3,6 triệu đồng/tháng.</w:t>
      </w:r>
    </w:p>
    <w:p w14:paraId="770307A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Trường hợp chỉ số giá tiêu dùng (CPI) biến động trên 20% so với thời điểm Luật có hiệu lực thi hành hoặc thời điểm điều chỉnh mức giảm trừ gia cảnh gần nhất thì Chính phủ trình Ủy ban thường vụ Quốc hội điều chỉnh mức giảm trừ gia cảnh quy định tại khoản này phù hợp với biến động của giá cả để áp dụng cho kỳ tính thuế tiếp theo.</w:t>
      </w:r>
    </w:p>
    <w:p w14:paraId="4A48B77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Việc xác định mức giảm trừ gia cảnh đối với người phụ thuộc thực hiện theo nguyên tắc mỗi người phụ thuộc chỉ được tính giảm trừ một lần vào một đối tượng nộp thuế.</w:t>
      </w:r>
    </w:p>
    <w:p w14:paraId="62B2C2A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3. Người phụ thuộc là người mà đối tượng nộp thuế có trách nhiệm nuôi dưỡng, bao gồm:</w:t>
      </w:r>
    </w:p>
    <w:p w14:paraId="7EE2F8AD"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Con chưa thành niên; con bị tàn tật, không có khả năng lao động;</w:t>
      </w:r>
    </w:p>
    <w:p w14:paraId="646B0DE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Các cá nhân không có thu nhập hoặc có thu nhập không vượt quá mức quy định, bao gồm con thành niên đang học đại học, cao đẳng, trung học chuyên nghiệp hoặc học nghề; vợ hoặc chồng không có khả năng lao động; bố, mẹ đã hết tuổi lao động hoặc không có khả năng lao động; những người khác không nơi nương tựa mà người nộp thuế phải trực tiếp nuôi dưỡng.</w:t>
      </w:r>
    </w:p>
    <w:p w14:paraId="7A00C63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Chính phủ quy định mức thu nhập, kê khai để xác định người phụ thuộc được tính giảm trừ gia cảnh.</w:t>
      </w:r>
    </w:p>
    <w:p w14:paraId="0AC0CC0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7" w:name="dieu_20"/>
      <w:r w:rsidRPr="00A731D1">
        <w:rPr>
          <w:rFonts w:ascii="Arial" w:eastAsia="Times New Roman" w:hAnsi="Arial" w:cs="Arial"/>
          <w:b/>
          <w:bCs/>
          <w:color w:val="000000"/>
          <w:sz w:val="18"/>
          <w:szCs w:val="18"/>
          <w:lang w:val="en-US" w:eastAsia="en-US"/>
        </w:rPr>
        <w:t>Điều 20. Giảm trừ đối với các khoản đóng góp từ thiện, nhân đạo</w:t>
      </w:r>
      <w:bookmarkEnd w:id="27"/>
    </w:p>
    <w:p w14:paraId="2160DEAC"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w:t>
      </w:r>
      <w:hyperlink r:id="rId19" w:anchor="_ftn15" w:history="1">
        <w:r w:rsidRPr="00A731D1">
          <w:rPr>
            <w:rFonts w:ascii="Arial" w:eastAsia="Times New Roman" w:hAnsi="Arial" w:cs="Arial"/>
            <w:color w:val="000000"/>
            <w:sz w:val="18"/>
            <w:szCs w:val="18"/>
            <w:u w:val="single"/>
            <w:lang w:val="en-US" w:eastAsia="en-US"/>
          </w:rPr>
          <w:t>15</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Các khoản đóng góp từ thiện, nhân đạo được trừ vào thu nhập trước khi tính thuế đối với thu nhập từ kinh doanh, tiền lương, tiền công của đối tượng nộp thuế là cá nhân cư trú, bao gồm:</w:t>
      </w:r>
    </w:p>
    <w:p w14:paraId="1C4B3F0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a) Khoản đóng góp vào tổ chức, cơ sở chăm sóc, nuôi dưỡng trẻ em có hoàn cảnh đặc biệt khó khăn, người tàn tật, người già không nơi nương tựa;</w:t>
      </w:r>
    </w:p>
    <w:p w14:paraId="0DBEDC5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 Khoản đóng góp vào quỹ từ thiện, quỹ nhân đạo, quỹ khuyến học.</w:t>
      </w:r>
    </w:p>
    <w:p w14:paraId="6E18EBA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Tổ chức, cơ sở và các quỹ quy định tại điểm a và điểm b khoản 1 Điều này phải được cơ quan nhà nước có thẩm quyền cho phép thành lập hoặc công nhận, hoạt động vì mục đích từ thiện, nhân đạo, khuyến học, không nhằm mục đích lợi nhuận.</w:t>
      </w:r>
    </w:p>
    <w:p w14:paraId="4D150F8D"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8" w:name="dieu_21"/>
      <w:r w:rsidRPr="00A731D1">
        <w:rPr>
          <w:rFonts w:ascii="Arial" w:eastAsia="Times New Roman" w:hAnsi="Arial" w:cs="Arial"/>
          <w:b/>
          <w:bCs/>
          <w:color w:val="000000"/>
          <w:sz w:val="18"/>
          <w:szCs w:val="18"/>
          <w:lang w:val="en-US" w:eastAsia="en-US"/>
        </w:rPr>
        <w:t>Điều 21. Thu nhập tính thuế</w:t>
      </w:r>
      <w:bookmarkEnd w:id="28"/>
    </w:p>
    <w:p w14:paraId="3C0282B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w:t>
      </w:r>
      <w:hyperlink r:id="rId20" w:anchor="_ftn16" w:history="1">
        <w:r w:rsidRPr="00A731D1">
          <w:rPr>
            <w:rFonts w:ascii="Arial" w:eastAsia="Times New Roman" w:hAnsi="Arial" w:cs="Arial"/>
            <w:color w:val="000000"/>
            <w:sz w:val="18"/>
            <w:szCs w:val="18"/>
            <w:u w:val="single"/>
            <w:lang w:val="en-US" w:eastAsia="en-US"/>
          </w:rPr>
          <w:t>16</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Thu nhập tính thuế đối với thu nhập từ kinh doanh, tiền lương, tiền công là tổng thu nhập chịu thuế quy định tại Điều 10 và Điều 11 của Luật này, trừ các khoản đóng góp bảo hiểm xã hội, bảo hiểm y tế, bảo hiểm thất nghiệp, bảo hiểm trách nhiệm nghề nghiệp đối với một số ngành, nghề phải tham gia bảo hiểm bắt buộc, quỹ hưu trí tự nguyện, các khoản giảm trừ quy định tại Điều 19 và Điều 20 của Luật này.</w:t>
      </w:r>
    </w:p>
    <w:p w14:paraId="475E89C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Chính phủ quy định mức tối đa được trừ đối với khoản đóng góp quỹ hưu trí tự nguyện quy định tại khoản này.</w:t>
      </w:r>
    </w:p>
    <w:p w14:paraId="10D8F14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 Thu nhập tính thuế đối với thu nhập từ đầu tư vốn, chuyển nhượng vốn, chuyển nhượng bất động sản, trúng thưởng, tiền bản quyền, nhượng quyền thương mại, nhận thừa kế, quà tặng là thu nhập chịu thuế quy định tại các Điều 12, 13, 14, 15, 16, 17 và 18 của Luật này.</w:t>
      </w:r>
    </w:p>
    <w:p w14:paraId="6DAC59E0"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29" w:name="muc_2"/>
      <w:r w:rsidRPr="00A731D1">
        <w:rPr>
          <w:rFonts w:ascii="Arial" w:eastAsia="Times New Roman" w:hAnsi="Arial" w:cs="Arial"/>
          <w:b/>
          <w:bCs/>
          <w:color w:val="000000"/>
          <w:sz w:val="18"/>
          <w:szCs w:val="18"/>
          <w:lang w:val="en-US" w:eastAsia="en-US"/>
        </w:rPr>
        <w:t>Mục 2. BIỂU THUẾ</w:t>
      </w:r>
      <w:bookmarkEnd w:id="29"/>
    </w:p>
    <w:p w14:paraId="0800CB9B"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0" w:name="dieu_22"/>
      <w:r w:rsidRPr="00A731D1">
        <w:rPr>
          <w:rFonts w:ascii="Arial" w:eastAsia="Times New Roman" w:hAnsi="Arial" w:cs="Arial"/>
          <w:b/>
          <w:bCs/>
          <w:color w:val="000000"/>
          <w:sz w:val="18"/>
          <w:szCs w:val="18"/>
          <w:lang w:val="en-US" w:eastAsia="en-US"/>
        </w:rPr>
        <w:t>Điều 22. Biểu thuế lũy tiến từng phần</w:t>
      </w:r>
      <w:bookmarkEnd w:id="30"/>
    </w:p>
    <w:p w14:paraId="218FBC1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Biểu thuế lũy tiến từng phần áp dụng đối với thu nhập tính thuế quy định tại khoản 1 Điều 21 của Luật này.</w:t>
      </w:r>
    </w:p>
    <w:p w14:paraId="222ED25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lastRenderedPageBreak/>
        <w:t>2. Biểu thuế lũy tiến từng phần được quy định như sau:</w:t>
      </w:r>
    </w:p>
    <w:tbl>
      <w:tblPr>
        <w:tblW w:w="0" w:type="dxa"/>
        <w:tblCellSpacing w:w="0" w:type="dxa"/>
        <w:tblCellMar>
          <w:left w:w="0" w:type="dxa"/>
          <w:right w:w="0" w:type="dxa"/>
        </w:tblCellMar>
        <w:tblLook w:val="04A0" w:firstRow="1" w:lastRow="0" w:firstColumn="1" w:lastColumn="0" w:noHBand="0" w:noVBand="1"/>
      </w:tblPr>
      <w:tblGrid>
        <w:gridCol w:w="639"/>
        <w:gridCol w:w="3909"/>
        <w:gridCol w:w="3240"/>
        <w:gridCol w:w="1068"/>
      </w:tblGrid>
      <w:tr w:rsidR="00A731D1" w:rsidRPr="00A731D1" w14:paraId="34345789" w14:textId="77777777" w:rsidTr="00A731D1">
        <w:trPr>
          <w:tblCellSpacing w:w="0" w:type="dxa"/>
        </w:trPr>
        <w:tc>
          <w:tcPr>
            <w:tcW w:w="639" w:type="dxa"/>
            <w:tcBorders>
              <w:top w:val="single" w:sz="8" w:space="0" w:color="auto"/>
              <w:left w:val="single" w:sz="8" w:space="0" w:color="auto"/>
              <w:bottom w:val="single" w:sz="8" w:space="0" w:color="auto"/>
              <w:right w:val="single" w:sz="8" w:space="0" w:color="auto"/>
            </w:tcBorders>
            <w:vAlign w:val="center"/>
            <w:hideMark/>
          </w:tcPr>
          <w:p w14:paraId="7946FD62"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Bậc thuế</w:t>
            </w:r>
          </w:p>
        </w:tc>
        <w:tc>
          <w:tcPr>
            <w:tcW w:w="3909" w:type="dxa"/>
            <w:tcBorders>
              <w:top w:val="single" w:sz="8" w:space="0" w:color="auto"/>
              <w:left w:val="nil"/>
              <w:bottom w:val="single" w:sz="8" w:space="0" w:color="auto"/>
              <w:right w:val="single" w:sz="8" w:space="0" w:color="auto"/>
            </w:tcBorders>
            <w:vAlign w:val="center"/>
            <w:hideMark/>
          </w:tcPr>
          <w:p w14:paraId="33738CE4"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Phần thu nhập tính thuế/năm</w:t>
            </w:r>
            <w:r w:rsidRPr="00A731D1">
              <w:rPr>
                <w:rFonts w:ascii="Times New Roman" w:eastAsia="Times New Roman" w:hAnsi="Times New Roman"/>
                <w:b/>
                <w:bCs/>
                <w:sz w:val="24"/>
                <w:szCs w:val="24"/>
                <w:lang w:val="en-US" w:eastAsia="en-US"/>
              </w:rPr>
              <w:br/>
              <w:t>(triệu đồng)</w:t>
            </w:r>
          </w:p>
        </w:tc>
        <w:tc>
          <w:tcPr>
            <w:tcW w:w="3240" w:type="dxa"/>
            <w:tcBorders>
              <w:top w:val="single" w:sz="8" w:space="0" w:color="auto"/>
              <w:left w:val="nil"/>
              <w:bottom w:val="single" w:sz="8" w:space="0" w:color="auto"/>
              <w:right w:val="single" w:sz="8" w:space="0" w:color="auto"/>
            </w:tcBorders>
            <w:vAlign w:val="center"/>
            <w:hideMark/>
          </w:tcPr>
          <w:p w14:paraId="72F0DD11"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Phần thu nhập tính thuế/tháng</w:t>
            </w:r>
            <w:r w:rsidRPr="00A731D1">
              <w:rPr>
                <w:rFonts w:ascii="Times New Roman" w:eastAsia="Times New Roman" w:hAnsi="Times New Roman"/>
                <w:b/>
                <w:bCs/>
                <w:sz w:val="24"/>
                <w:szCs w:val="24"/>
                <w:lang w:val="en-US" w:eastAsia="en-US"/>
              </w:rPr>
              <w:br/>
              <w:t>(triệu đồng)</w:t>
            </w:r>
          </w:p>
        </w:tc>
        <w:tc>
          <w:tcPr>
            <w:tcW w:w="1068" w:type="dxa"/>
            <w:tcBorders>
              <w:top w:val="single" w:sz="8" w:space="0" w:color="auto"/>
              <w:left w:val="nil"/>
              <w:bottom w:val="single" w:sz="8" w:space="0" w:color="auto"/>
              <w:right w:val="single" w:sz="8" w:space="0" w:color="auto"/>
            </w:tcBorders>
            <w:vAlign w:val="center"/>
            <w:hideMark/>
          </w:tcPr>
          <w:p w14:paraId="1D5DD801"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Thuế suất (%)</w:t>
            </w:r>
          </w:p>
        </w:tc>
      </w:tr>
      <w:tr w:rsidR="00A731D1" w:rsidRPr="00A731D1" w14:paraId="536379F0"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570EECF3"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1</w:t>
            </w:r>
          </w:p>
        </w:tc>
        <w:tc>
          <w:tcPr>
            <w:tcW w:w="3909" w:type="dxa"/>
            <w:tcBorders>
              <w:top w:val="nil"/>
              <w:left w:val="nil"/>
              <w:bottom w:val="single" w:sz="8" w:space="0" w:color="auto"/>
              <w:right w:val="single" w:sz="8" w:space="0" w:color="auto"/>
            </w:tcBorders>
            <w:vAlign w:val="center"/>
            <w:hideMark/>
          </w:tcPr>
          <w:p w14:paraId="72A4F95F"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Đến 60</w:t>
            </w:r>
          </w:p>
        </w:tc>
        <w:tc>
          <w:tcPr>
            <w:tcW w:w="3240" w:type="dxa"/>
            <w:tcBorders>
              <w:top w:val="nil"/>
              <w:left w:val="nil"/>
              <w:bottom w:val="single" w:sz="8" w:space="0" w:color="auto"/>
              <w:right w:val="single" w:sz="8" w:space="0" w:color="auto"/>
            </w:tcBorders>
            <w:vAlign w:val="center"/>
            <w:hideMark/>
          </w:tcPr>
          <w:p w14:paraId="3DFF9C36"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Đến 5</w:t>
            </w:r>
          </w:p>
        </w:tc>
        <w:tc>
          <w:tcPr>
            <w:tcW w:w="1068" w:type="dxa"/>
            <w:tcBorders>
              <w:top w:val="nil"/>
              <w:left w:val="nil"/>
              <w:bottom w:val="single" w:sz="8" w:space="0" w:color="auto"/>
              <w:right w:val="single" w:sz="8" w:space="0" w:color="auto"/>
            </w:tcBorders>
            <w:vAlign w:val="center"/>
            <w:hideMark/>
          </w:tcPr>
          <w:p w14:paraId="12189046"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5</w:t>
            </w:r>
          </w:p>
        </w:tc>
      </w:tr>
      <w:tr w:rsidR="00A731D1" w:rsidRPr="00A731D1" w14:paraId="5BAE5D7C"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2A49C1FB"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2</w:t>
            </w:r>
          </w:p>
        </w:tc>
        <w:tc>
          <w:tcPr>
            <w:tcW w:w="3909" w:type="dxa"/>
            <w:tcBorders>
              <w:top w:val="nil"/>
              <w:left w:val="nil"/>
              <w:bottom w:val="single" w:sz="8" w:space="0" w:color="auto"/>
              <w:right w:val="single" w:sz="8" w:space="0" w:color="auto"/>
            </w:tcBorders>
            <w:vAlign w:val="center"/>
            <w:hideMark/>
          </w:tcPr>
          <w:p w14:paraId="6AA39332"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60 đến 120</w:t>
            </w:r>
          </w:p>
        </w:tc>
        <w:tc>
          <w:tcPr>
            <w:tcW w:w="3240" w:type="dxa"/>
            <w:tcBorders>
              <w:top w:val="nil"/>
              <w:left w:val="nil"/>
              <w:bottom w:val="single" w:sz="8" w:space="0" w:color="auto"/>
              <w:right w:val="single" w:sz="8" w:space="0" w:color="auto"/>
            </w:tcBorders>
            <w:vAlign w:val="center"/>
            <w:hideMark/>
          </w:tcPr>
          <w:p w14:paraId="2052DD47"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5 đến 10</w:t>
            </w:r>
          </w:p>
        </w:tc>
        <w:tc>
          <w:tcPr>
            <w:tcW w:w="1068" w:type="dxa"/>
            <w:tcBorders>
              <w:top w:val="nil"/>
              <w:left w:val="nil"/>
              <w:bottom w:val="single" w:sz="8" w:space="0" w:color="auto"/>
              <w:right w:val="single" w:sz="8" w:space="0" w:color="auto"/>
            </w:tcBorders>
            <w:vAlign w:val="center"/>
            <w:hideMark/>
          </w:tcPr>
          <w:p w14:paraId="25FFA6CA"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10</w:t>
            </w:r>
          </w:p>
        </w:tc>
      </w:tr>
      <w:tr w:rsidR="00A731D1" w:rsidRPr="00A731D1" w14:paraId="27E80C6C"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4B455089"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3</w:t>
            </w:r>
          </w:p>
        </w:tc>
        <w:tc>
          <w:tcPr>
            <w:tcW w:w="3909" w:type="dxa"/>
            <w:tcBorders>
              <w:top w:val="nil"/>
              <w:left w:val="nil"/>
              <w:bottom w:val="single" w:sz="8" w:space="0" w:color="auto"/>
              <w:right w:val="single" w:sz="8" w:space="0" w:color="auto"/>
            </w:tcBorders>
            <w:vAlign w:val="center"/>
            <w:hideMark/>
          </w:tcPr>
          <w:p w14:paraId="3D2F8697"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120 đến 216</w:t>
            </w:r>
          </w:p>
        </w:tc>
        <w:tc>
          <w:tcPr>
            <w:tcW w:w="3240" w:type="dxa"/>
            <w:tcBorders>
              <w:top w:val="nil"/>
              <w:left w:val="nil"/>
              <w:bottom w:val="single" w:sz="8" w:space="0" w:color="auto"/>
              <w:right w:val="single" w:sz="8" w:space="0" w:color="auto"/>
            </w:tcBorders>
            <w:vAlign w:val="center"/>
            <w:hideMark/>
          </w:tcPr>
          <w:p w14:paraId="634B1B21"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10 đến 18</w:t>
            </w:r>
          </w:p>
        </w:tc>
        <w:tc>
          <w:tcPr>
            <w:tcW w:w="1068" w:type="dxa"/>
            <w:tcBorders>
              <w:top w:val="nil"/>
              <w:left w:val="nil"/>
              <w:bottom w:val="single" w:sz="8" w:space="0" w:color="auto"/>
              <w:right w:val="single" w:sz="8" w:space="0" w:color="auto"/>
            </w:tcBorders>
            <w:vAlign w:val="center"/>
            <w:hideMark/>
          </w:tcPr>
          <w:p w14:paraId="535CBDBE"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15</w:t>
            </w:r>
          </w:p>
        </w:tc>
      </w:tr>
      <w:tr w:rsidR="00A731D1" w:rsidRPr="00A731D1" w14:paraId="79942EEC"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0C316261"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4</w:t>
            </w:r>
          </w:p>
        </w:tc>
        <w:tc>
          <w:tcPr>
            <w:tcW w:w="3909" w:type="dxa"/>
            <w:tcBorders>
              <w:top w:val="nil"/>
              <w:left w:val="nil"/>
              <w:bottom w:val="single" w:sz="8" w:space="0" w:color="auto"/>
              <w:right w:val="single" w:sz="8" w:space="0" w:color="auto"/>
            </w:tcBorders>
            <w:vAlign w:val="center"/>
            <w:hideMark/>
          </w:tcPr>
          <w:p w14:paraId="5D97E03A"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216 đến 384</w:t>
            </w:r>
          </w:p>
        </w:tc>
        <w:tc>
          <w:tcPr>
            <w:tcW w:w="3240" w:type="dxa"/>
            <w:tcBorders>
              <w:top w:val="nil"/>
              <w:left w:val="nil"/>
              <w:bottom w:val="single" w:sz="8" w:space="0" w:color="auto"/>
              <w:right w:val="single" w:sz="8" w:space="0" w:color="auto"/>
            </w:tcBorders>
            <w:vAlign w:val="center"/>
            <w:hideMark/>
          </w:tcPr>
          <w:p w14:paraId="26820BBB"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18 đến 32</w:t>
            </w:r>
          </w:p>
        </w:tc>
        <w:tc>
          <w:tcPr>
            <w:tcW w:w="1068" w:type="dxa"/>
            <w:tcBorders>
              <w:top w:val="nil"/>
              <w:left w:val="nil"/>
              <w:bottom w:val="single" w:sz="8" w:space="0" w:color="auto"/>
              <w:right w:val="single" w:sz="8" w:space="0" w:color="auto"/>
            </w:tcBorders>
            <w:vAlign w:val="center"/>
            <w:hideMark/>
          </w:tcPr>
          <w:p w14:paraId="6608C5AB"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20</w:t>
            </w:r>
          </w:p>
        </w:tc>
      </w:tr>
      <w:tr w:rsidR="00A731D1" w:rsidRPr="00A731D1" w14:paraId="5300D63E"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44D912F6"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5</w:t>
            </w:r>
          </w:p>
        </w:tc>
        <w:tc>
          <w:tcPr>
            <w:tcW w:w="3909" w:type="dxa"/>
            <w:tcBorders>
              <w:top w:val="nil"/>
              <w:left w:val="nil"/>
              <w:bottom w:val="single" w:sz="8" w:space="0" w:color="auto"/>
              <w:right w:val="single" w:sz="8" w:space="0" w:color="auto"/>
            </w:tcBorders>
            <w:vAlign w:val="center"/>
            <w:hideMark/>
          </w:tcPr>
          <w:p w14:paraId="56B951B0"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384 đến 624</w:t>
            </w:r>
          </w:p>
        </w:tc>
        <w:tc>
          <w:tcPr>
            <w:tcW w:w="3240" w:type="dxa"/>
            <w:tcBorders>
              <w:top w:val="nil"/>
              <w:left w:val="nil"/>
              <w:bottom w:val="single" w:sz="8" w:space="0" w:color="auto"/>
              <w:right w:val="single" w:sz="8" w:space="0" w:color="auto"/>
            </w:tcBorders>
            <w:vAlign w:val="center"/>
            <w:hideMark/>
          </w:tcPr>
          <w:p w14:paraId="1E7FC37A"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32 đến 52</w:t>
            </w:r>
          </w:p>
        </w:tc>
        <w:tc>
          <w:tcPr>
            <w:tcW w:w="1068" w:type="dxa"/>
            <w:tcBorders>
              <w:top w:val="nil"/>
              <w:left w:val="nil"/>
              <w:bottom w:val="single" w:sz="8" w:space="0" w:color="auto"/>
              <w:right w:val="single" w:sz="8" w:space="0" w:color="auto"/>
            </w:tcBorders>
            <w:vAlign w:val="center"/>
            <w:hideMark/>
          </w:tcPr>
          <w:p w14:paraId="267AE06F"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25</w:t>
            </w:r>
          </w:p>
        </w:tc>
      </w:tr>
      <w:tr w:rsidR="00A731D1" w:rsidRPr="00A731D1" w14:paraId="4DD3FA47"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6227F325"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6</w:t>
            </w:r>
          </w:p>
        </w:tc>
        <w:tc>
          <w:tcPr>
            <w:tcW w:w="3909" w:type="dxa"/>
            <w:tcBorders>
              <w:top w:val="nil"/>
              <w:left w:val="nil"/>
              <w:bottom w:val="single" w:sz="8" w:space="0" w:color="auto"/>
              <w:right w:val="single" w:sz="8" w:space="0" w:color="auto"/>
            </w:tcBorders>
            <w:vAlign w:val="center"/>
            <w:hideMark/>
          </w:tcPr>
          <w:p w14:paraId="31A7BE7D"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624 đến 960</w:t>
            </w:r>
          </w:p>
        </w:tc>
        <w:tc>
          <w:tcPr>
            <w:tcW w:w="3240" w:type="dxa"/>
            <w:tcBorders>
              <w:top w:val="nil"/>
              <w:left w:val="nil"/>
              <w:bottom w:val="single" w:sz="8" w:space="0" w:color="auto"/>
              <w:right w:val="single" w:sz="8" w:space="0" w:color="auto"/>
            </w:tcBorders>
            <w:vAlign w:val="center"/>
            <w:hideMark/>
          </w:tcPr>
          <w:p w14:paraId="0B439868"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52 đến 80</w:t>
            </w:r>
          </w:p>
        </w:tc>
        <w:tc>
          <w:tcPr>
            <w:tcW w:w="1068" w:type="dxa"/>
            <w:tcBorders>
              <w:top w:val="nil"/>
              <w:left w:val="nil"/>
              <w:bottom w:val="single" w:sz="8" w:space="0" w:color="auto"/>
              <w:right w:val="single" w:sz="8" w:space="0" w:color="auto"/>
            </w:tcBorders>
            <w:vAlign w:val="center"/>
            <w:hideMark/>
          </w:tcPr>
          <w:p w14:paraId="3B3A7CD6"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30</w:t>
            </w:r>
          </w:p>
        </w:tc>
      </w:tr>
      <w:tr w:rsidR="00A731D1" w:rsidRPr="00A731D1" w14:paraId="5F10FEA7" w14:textId="77777777" w:rsidTr="00A731D1">
        <w:trPr>
          <w:tblCellSpacing w:w="0" w:type="dxa"/>
        </w:trPr>
        <w:tc>
          <w:tcPr>
            <w:tcW w:w="639" w:type="dxa"/>
            <w:tcBorders>
              <w:top w:val="nil"/>
              <w:left w:val="single" w:sz="8" w:space="0" w:color="auto"/>
              <w:bottom w:val="single" w:sz="8" w:space="0" w:color="auto"/>
              <w:right w:val="single" w:sz="8" w:space="0" w:color="auto"/>
            </w:tcBorders>
            <w:vAlign w:val="center"/>
            <w:hideMark/>
          </w:tcPr>
          <w:p w14:paraId="58355C25"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7</w:t>
            </w:r>
          </w:p>
        </w:tc>
        <w:tc>
          <w:tcPr>
            <w:tcW w:w="3909" w:type="dxa"/>
            <w:tcBorders>
              <w:top w:val="nil"/>
              <w:left w:val="nil"/>
              <w:bottom w:val="single" w:sz="8" w:space="0" w:color="auto"/>
              <w:right w:val="single" w:sz="8" w:space="0" w:color="auto"/>
            </w:tcBorders>
            <w:vAlign w:val="center"/>
            <w:hideMark/>
          </w:tcPr>
          <w:p w14:paraId="121CD5EE"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 Trên 960 </w:t>
            </w:r>
          </w:p>
        </w:tc>
        <w:tc>
          <w:tcPr>
            <w:tcW w:w="3240" w:type="dxa"/>
            <w:tcBorders>
              <w:top w:val="nil"/>
              <w:left w:val="nil"/>
              <w:bottom w:val="single" w:sz="8" w:space="0" w:color="auto"/>
              <w:right w:val="single" w:sz="8" w:space="0" w:color="auto"/>
            </w:tcBorders>
            <w:vAlign w:val="center"/>
            <w:hideMark/>
          </w:tcPr>
          <w:p w14:paraId="7747C0CF"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Trên 80</w:t>
            </w:r>
          </w:p>
        </w:tc>
        <w:tc>
          <w:tcPr>
            <w:tcW w:w="1068" w:type="dxa"/>
            <w:tcBorders>
              <w:top w:val="nil"/>
              <w:left w:val="nil"/>
              <w:bottom w:val="single" w:sz="8" w:space="0" w:color="auto"/>
              <w:right w:val="single" w:sz="8" w:space="0" w:color="auto"/>
            </w:tcBorders>
            <w:vAlign w:val="center"/>
            <w:hideMark/>
          </w:tcPr>
          <w:p w14:paraId="16BCABA1"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35</w:t>
            </w:r>
          </w:p>
        </w:tc>
      </w:tr>
    </w:tbl>
    <w:p w14:paraId="2A062B3B"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1" w:name="dieu_23"/>
      <w:r w:rsidRPr="00A731D1">
        <w:rPr>
          <w:rFonts w:ascii="Arial" w:eastAsia="Times New Roman" w:hAnsi="Arial" w:cs="Arial"/>
          <w:b/>
          <w:bCs/>
          <w:color w:val="000000"/>
          <w:sz w:val="18"/>
          <w:szCs w:val="18"/>
          <w:lang w:val="en-US" w:eastAsia="en-US"/>
        </w:rPr>
        <w:t>Điều 23. Biểu thuế toàn phần</w:t>
      </w:r>
      <w:bookmarkEnd w:id="31"/>
    </w:p>
    <w:p w14:paraId="49B532C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1. Biểu thuế toàn phần áp dụng đối với thu nhập tính thuế quy định tại khoản 2 Điều 21 của Luật này.</w:t>
      </w:r>
    </w:p>
    <w:p w14:paraId="4768D20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2.</w:t>
      </w:r>
      <w:hyperlink r:id="rId21" w:anchor="_ftn17" w:history="1">
        <w:r w:rsidRPr="00A731D1">
          <w:rPr>
            <w:rFonts w:ascii="Arial" w:eastAsia="Times New Roman" w:hAnsi="Arial" w:cs="Arial"/>
            <w:color w:val="000000"/>
            <w:sz w:val="18"/>
            <w:szCs w:val="18"/>
            <w:u w:val="single"/>
            <w:lang w:val="en-US" w:eastAsia="en-US"/>
          </w:rPr>
          <w:t>17</w:t>
        </w:r>
      </w:hyperlink>
      <w:r w:rsidRPr="00A731D1">
        <w:rPr>
          <w:rFonts w:ascii="Arial" w:eastAsia="Times New Roman" w:hAnsi="Arial" w:cs="Arial"/>
          <w:color w:val="000000"/>
          <w:sz w:val="18"/>
          <w:szCs w:val="18"/>
          <w:vertAlign w:val="superscript"/>
          <w:lang w:val="en-US" w:eastAsia="en-US"/>
        </w:rPr>
        <w:t> </w:t>
      </w:r>
      <w:r w:rsidRPr="00A731D1">
        <w:rPr>
          <w:rFonts w:ascii="Arial" w:eastAsia="Times New Roman" w:hAnsi="Arial" w:cs="Arial"/>
          <w:color w:val="000000"/>
          <w:sz w:val="18"/>
          <w:szCs w:val="18"/>
          <w:lang w:val="en-US" w:eastAsia="en-US"/>
        </w:rPr>
        <w:t>Biểu thuế toàn phần được quy định như sau:</w:t>
      </w:r>
    </w:p>
    <w:tbl>
      <w:tblPr>
        <w:tblW w:w="0" w:type="dxa"/>
        <w:tblCellSpacing w:w="0" w:type="dxa"/>
        <w:tblCellMar>
          <w:left w:w="0" w:type="dxa"/>
          <w:right w:w="0" w:type="dxa"/>
        </w:tblCellMar>
        <w:tblLook w:val="04A0" w:firstRow="1" w:lastRow="0" w:firstColumn="1" w:lastColumn="0" w:noHBand="0" w:noVBand="1"/>
      </w:tblPr>
      <w:tblGrid>
        <w:gridCol w:w="6708"/>
        <w:gridCol w:w="2148"/>
      </w:tblGrid>
      <w:tr w:rsidR="00A731D1" w:rsidRPr="00A731D1" w14:paraId="48DB8A76" w14:textId="77777777" w:rsidTr="00A731D1">
        <w:trPr>
          <w:tblCellSpacing w:w="0" w:type="dxa"/>
        </w:trPr>
        <w:tc>
          <w:tcPr>
            <w:tcW w:w="6708" w:type="dxa"/>
            <w:tcBorders>
              <w:top w:val="single" w:sz="8" w:space="0" w:color="auto"/>
              <w:left w:val="single" w:sz="8" w:space="0" w:color="auto"/>
              <w:bottom w:val="single" w:sz="8" w:space="0" w:color="auto"/>
              <w:right w:val="single" w:sz="8" w:space="0" w:color="auto"/>
            </w:tcBorders>
            <w:hideMark/>
          </w:tcPr>
          <w:p w14:paraId="1B4F48EB"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Thu nhập tính thuế</w:t>
            </w:r>
          </w:p>
        </w:tc>
        <w:tc>
          <w:tcPr>
            <w:tcW w:w="2148" w:type="dxa"/>
            <w:tcBorders>
              <w:top w:val="single" w:sz="8" w:space="0" w:color="auto"/>
              <w:left w:val="nil"/>
              <w:bottom w:val="single" w:sz="8" w:space="0" w:color="auto"/>
              <w:right w:val="single" w:sz="8" w:space="0" w:color="auto"/>
            </w:tcBorders>
            <w:hideMark/>
          </w:tcPr>
          <w:p w14:paraId="4BAD0D14"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Thuế suất (%)</w:t>
            </w:r>
          </w:p>
        </w:tc>
      </w:tr>
      <w:tr w:rsidR="00A731D1" w:rsidRPr="00A731D1" w14:paraId="2C753972"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295BB4AC"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a) Thu nhập từ đầu tư vốn</w:t>
            </w:r>
          </w:p>
        </w:tc>
        <w:tc>
          <w:tcPr>
            <w:tcW w:w="2148" w:type="dxa"/>
            <w:tcBorders>
              <w:top w:val="nil"/>
              <w:left w:val="nil"/>
              <w:bottom w:val="single" w:sz="8" w:space="0" w:color="auto"/>
              <w:right w:val="single" w:sz="8" w:space="0" w:color="auto"/>
            </w:tcBorders>
            <w:hideMark/>
          </w:tcPr>
          <w:p w14:paraId="3E2F023A"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5</w:t>
            </w:r>
          </w:p>
        </w:tc>
      </w:tr>
      <w:tr w:rsidR="00A731D1" w:rsidRPr="00A731D1" w14:paraId="11BCAD21"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2829A41B"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b) Thu nhập từ bản quyền, nhượng quyền thương mại</w:t>
            </w:r>
          </w:p>
        </w:tc>
        <w:tc>
          <w:tcPr>
            <w:tcW w:w="2148" w:type="dxa"/>
            <w:tcBorders>
              <w:top w:val="nil"/>
              <w:left w:val="nil"/>
              <w:bottom w:val="single" w:sz="8" w:space="0" w:color="auto"/>
              <w:right w:val="single" w:sz="8" w:space="0" w:color="auto"/>
            </w:tcBorders>
            <w:hideMark/>
          </w:tcPr>
          <w:p w14:paraId="6089638B"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5</w:t>
            </w:r>
          </w:p>
        </w:tc>
      </w:tr>
      <w:tr w:rsidR="00A731D1" w:rsidRPr="00A731D1" w14:paraId="34EA3B5E"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0E4A9878"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c) Thu nhập từ trúng thưởng </w:t>
            </w:r>
          </w:p>
        </w:tc>
        <w:tc>
          <w:tcPr>
            <w:tcW w:w="2148" w:type="dxa"/>
            <w:tcBorders>
              <w:top w:val="nil"/>
              <w:left w:val="nil"/>
              <w:bottom w:val="single" w:sz="8" w:space="0" w:color="auto"/>
              <w:right w:val="single" w:sz="8" w:space="0" w:color="auto"/>
            </w:tcBorders>
            <w:hideMark/>
          </w:tcPr>
          <w:p w14:paraId="5EC7E006"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10</w:t>
            </w:r>
          </w:p>
        </w:tc>
      </w:tr>
      <w:tr w:rsidR="00A731D1" w:rsidRPr="00A731D1" w14:paraId="1BB11DB6"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18F46249"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d) Thu nhập từ thừa kế, quà tặng</w:t>
            </w:r>
          </w:p>
        </w:tc>
        <w:tc>
          <w:tcPr>
            <w:tcW w:w="2148" w:type="dxa"/>
            <w:tcBorders>
              <w:top w:val="nil"/>
              <w:left w:val="nil"/>
              <w:bottom w:val="single" w:sz="8" w:space="0" w:color="auto"/>
              <w:right w:val="single" w:sz="8" w:space="0" w:color="auto"/>
            </w:tcBorders>
            <w:hideMark/>
          </w:tcPr>
          <w:p w14:paraId="726B5BE4"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10</w:t>
            </w:r>
          </w:p>
        </w:tc>
      </w:tr>
      <w:tr w:rsidR="00A731D1" w:rsidRPr="00A731D1" w14:paraId="1A299B01"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74CD8789"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đ) Thu nhập từ chuyển nhượng vốn quy định tại khoản 1 Điều 13 của Luật này</w:t>
            </w:r>
          </w:p>
        </w:tc>
        <w:tc>
          <w:tcPr>
            <w:tcW w:w="2148" w:type="dxa"/>
            <w:tcBorders>
              <w:top w:val="nil"/>
              <w:left w:val="nil"/>
              <w:bottom w:val="single" w:sz="8" w:space="0" w:color="auto"/>
              <w:right w:val="single" w:sz="8" w:space="0" w:color="auto"/>
            </w:tcBorders>
            <w:hideMark/>
          </w:tcPr>
          <w:p w14:paraId="0BD58A5C"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20</w:t>
            </w:r>
          </w:p>
        </w:tc>
      </w:tr>
      <w:tr w:rsidR="00A731D1" w:rsidRPr="00A731D1" w14:paraId="7132BB8C"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492C35F4"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Thu nhập từ chuyển nhượng chứng khoán quy định tại khoản 1 Điều 13 của Luật này</w:t>
            </w:r>
          </w:p>
        </w:tc>
        <w:tc>
          <w:tcPr>
            <w:tcW w:w="2148" w:type="dxa"/>
            <w:tcBorders>
              <w:top w:val="nil"/>
              <w:left w:val="nil"/>
              <w:bottom w:val="single" w:sz="8" w:space="0" w:color="auto"/>
              <w:right w:val="single" w:sz="8" w:space="0" w:color="auto"/>
            </w:tcBorders>
            <w:hideMark/>
          </w:tcPr>
          <w:p w14:paraId="401E9B25"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0,1</w:t>
            </w:r>
          </w:p>
        </w:tc>
      </w:tr>
      <w:tr w:rsidR="00A731D1" w:rsidRPr="00A731D1" w14:paraId="6048448B" w14:textId="77777777" w:rsidTr="00A731D1">
        <w:trPr>
          <w:tblCellSpacing w:w="0" w:type="dxa"/>
        </w:trPr>
        <w:tc>
          <w:tcPr>
            <w:tcW w:w="6708" w:type="dxa"/>
            <w:tcBorders>
              <w:top w:val="nil"/>
              <w:left w:val="single" w:sz="8" w:space="0" w:color="auto"/>
              <w:bottom w:val="single" w:sz="8" w:space="0" w:color="auto"/>
              <w:right w:val="single" w:sz="8" w:space="0" w:color="auto"/>
            </w:tcBorders>
            <w:hideMark/>
          </w:tcPr>
          <w:p w14:paraId="4251D349"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e) Thu nhập từ chuyển nhượng bất động sản</w:t>
            </w:r>
          </w:p>
        </w:tc>
        <w:tc>
          <w:tcPr>
            <w:tcW w:w="2148" w:type="dxa"/>
            <w:tcBorders>
              <w:top w:val="nil"/>
              <w:left w:val="nil"/>
              <w:bottom w:val="single" w:sz="8" w:space="0" w:color="auto"/>
              <w:right w:val="single" w:sz="8" w:space="0" w:color="auto"/>
            </w:tcBorders>
            <w:hideMark/>
          </w:tcPr>
          <w:p w14:paraId="582360E0"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2</w:t>
            </w:r>
          </w:p>
        </w:tc>
      </w:tr>
    </w:tbl>
    <w:p w14:paraId="4F7A7A29"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2" w:name="dieu_24"/>
      <w:r w:rsidRPr="00A731D1">
        <w:rPr>
          <w:rFonts w:ascii="Arial" w:eastAsia="Times New Roman" w:hAnsi="Arial" w:cs="Arial"/>
          <w:b/>
          <w:bCs/>
          <w:color w:val="000000"/>
          <w:sz w:val="18"/>
          <w:szCs w:val="18"/>
          <w:lang w:eastAsia="en-US"/>
        </w:rPr>
        <w:t>Điều 24. Trách nhiệm của tổ chức, cá nhân trả thu nhập và trách nhiệm của đối tượng nộp thuế là cá nhân cư trú</w:t>
      </w:r>
      <w:bookmarkEnd w:id="32"/>
      <w:r w:rsidRPr="00A731D1">
        <w:rPr>
          <w:rFonts w:ascii="Arial" w:eastAsia="Times New Roman" w:hAnsi="Arial" w:cs="Arial"/>
          <w:color w:val="000000"/>
          <w:sz w:val="18"/>
          <w:szCs w:val="18"/>
          <w:lang w:val="en-US" w:eastAsia="en-US"/>
        </w:rPr>
        <w:fldChar w:fldCharType="begin"/>
      </w:r>
      <w:r w:rsidRPr="00A731D1">
        <w:rPr>
          <w:rFonts w:ascii="Arial" w:eastAsia="Times New Roman" w:hAnsi="Arial" w:cs="Arial"/>
          <w:color w:val="000000"/>
          <w:sz w:val="18"/>
          <w:szCs w:val="18"/>
          <w:lang w:val="en-US" w:eastAsia="en-US"/>
        </w:rPr>
        <w:instrText xml:space="preserve"> HYPERLINK "https://thuvienphapluat.vn/van-ban/Thue-Phi-Le-Phi/Van-ban-hop-nhat-15-VBHN-VPQH-2014-hop-nhat-Luat-thue-thu-nhap-ca-nhan-264500.aspx" \l "_ftn18" \o "" </w:instrText>
      </w:r>
      <w:r w:rsidRPr="00A731D1">
        <w:rPr>
          <w:rFonts w:ascii="Arial" w:eastAsia="Times New Roman" w:hAnsi="Arial" w:cs="Arial"/>
          <w:color w:val="000000"/>
          <w:sz w:val="18"/>
          <w:szCs w:val="18"/>
          <w:lang w:val="en-US" w:eastAsia="en-US"/>
        </w:rPr>
        <w:fldChar w:fldCharType="separate"/>
      </w:r>
      <w:r w:rsidRPr="00A731D1">
        <w:rPr>
          <w:rFonts w:ascii="Arial" w:eastAsia="Times New Roman" w:hAnsi="Arial" w:cs="Arial"/>
          <w:b/>
          <w:bCs/>
          <w:color w:val="000000"/>
          <w:sz w:val="18"/>
          <w:szCs w:val="18"/>
          <w:u w:val="single"/>
          <w:lang w:eastAsia="en-US"/>
        </w:rPr>
        <w:t>18</w:t>
      </w:r>
      <w:r w:rsidRPr="00A731D1">
        <w:rPr>
          <w:rFonts w:ascii="Arial" w:eastAsia="Times New Roman" w:hAnsi="Arial" w:cs="Arial"/>
          <w:color w:val="000000"/>
          <w:sz w:val="18"/>
          <w:szCs w:val="18"/>
          <w:lang w:val="en-US" w:eastAsia="en-US"/>
        </w:rPr>
        <w:fldChar w:fldCharType="end"/>
      </w:r>
    </w:p>
    <w:p w14:paraId="28AD65C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Trách nhiệm kê khai, khấu trừ, nộp thuế, quyết toán thuế được quy định như sau:</w:t>
      </w:r>
    </w:p>
    <w:p w14:paraId="1F26C9A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a) Tổ chức, cá nhân trả thu nhập có trách nhiệm kê khai, khấu trừ, nộp thuế vào ngân sách nhà nước và quyết toán thuế đối với các loại thu nhập chịu thuế trả cho đối tượng nộp thuế;</w:t>
      </w:r>
    </w:p>
    <w:p w14:paraId="2E11F7C3"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b) Cá nhân có thu nhập chịu thuế có trách nhiệm kê khai, nộp thuế vào ngân sách nhà nước và quyết toán thuế theo quy định của pháp luật.</w:t>
      </w:r>
    </w:p>
    <w:p w14:paraId="025AB84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Tổ chức, cá nhân trả thu nhập có trách nhiệm cung cấp thông tin về thu nhập và người phụ thuộc của đối tượng nộp thuế thuộc đơn vị mình quản lý theo quy định của pháp luật.</w:t>
      </w:r>
    </w:p>
    <w:p w14:paraId="6D5B42D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3. Chính phủ quy định mức khấu trừ thuế phù hợp với từng loại thu nhập quy định tại điểm a khoản 1 Điều này và việc quyết toán thuế quy định tại khoản 1 Điều này.</w:t>
      </w:r>
    </w:p>
    <w:p w14:paraId="612133C3"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3" w:name="chuong_3"/>
      <w:r w:rsidRPr="00A731D1">
        <w:rPr>
          <w:rFonts w:ascii="Arial" w:eastAsia="Times New Roman" w:hAnsi="Arial" w:cs="Arial"/>
          <w:b/>
          <w:bCs/>
          <w:color w:val="000000"/>
          <w:sz w:val="18"/>
          <w:szCs w:val="18"/>
          <w:lang w:eastAsia="en-US"/>
        </w:rPr>
        <w:t>Chương III</w:t>
      </w:r>
      <w:bookmarkEnd w:id="33"/>
    </w:p>
    <w:p w14:paraId="51CBAD02"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34" w:name="chuong_3_name"/>
      <w:r w:rsidRPr="00A731D1">
        <w:rPr>
          <w:rFonts w:ascii="Arial" w:eastAsia="Times New Roman" w:hAnsi="Arial" w:cs="Arial"/>
          <w:b/>
          <w:bCs/>
          <w:color w:val="000000"/>
          <w:sz w:val="24"/>
          <w:szCs w:val="24"/>
          <w:lang w:eastAsia="en-US"/>
        </w:rPr>
        <w:t>CĂN CỨ TÍNH THUẾ ĐỐI VỚI CÁ NHÂN KHÔNG CƯ TRÚ</w:t>
      </w:r>
      <w:bookmarkEnd w:id="34"/>
    </w:p>
    <w:p w14:paraId="0DB91885"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5" w:name="dieu_25"/>
      <w:r w:rsidRPr="00A731D1">
        <w:rPr>
          <w:rFonts w:ascii="Arial" w:eastAsia="Times New Roman" w:hAnsi="Arial" w:cs="Arial"/>
          <w:b/>
          <w:bCs/>
          <w:color w:val="000000"/>
          <w:sz w:val="18"/>
          <w:szCs w:val="18"/>
          <w:lang w:eastAsia="en-US"/>
        </w:rPr>
        <w:lastRenderedPageBreak/>
        <w:t>Điều 25. Thuế đối với thu nhập từ kinh doanh</w:t>
      </w:r>
      <w:bookmarkEnd w:id="35"/>
    </w:p>
    <w:p w14:paraId="10EE6449"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Thuế đối với thu nhập từ kinh doanh của cá nhân không cư trú được xác định bằng doanh thu từ hoạt động sản xuất, kinh doanh quy định tại khoản 2 Điều này nhân với thuế suất quy định tại khoản 3 Điều này.</w:t>
      </w:r>
    </w:p>
    <w:p w14:paraId="248A005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Doanh thu là toàn bộ số tiền phát sinh từ việc cung ứng hàng hóa, dịch vụ bao gồm cả chi phí do bên mua hàng hóa, dịch vụ trả thay cho cá nhân không cư trú mà không được hoàn trả.</w:t>
      </w:r>
    </w:p>
    <w:p w14:paraId="5D3AD4F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Trường hợp thỏa thuận hợp đồng không bao gồm thuế thu nhập cá nhân thì doanh thu tính thuế phải quy đổi là toàn bộ số tiền mà cá nhân không cư trú nhận được dưới bất kỳ hình thức nào từ việc cung cấp hàng hóa, dịch vụ tại Việt Nam không phụ thuộc vào địa điểm tiến hành các hoạt động kinh doanh.</w:t>
      </w:r>
    </w:p>
    <w:p w14:paraId="350870F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3. Thuế suất đối với thu nhập từ kinh doanh quy định đối với từng lĩnh vực, ngành nghề sản xuất, kinh doanh như sau:</w:t>
      </w:r>
    </w:p>
    <w:p w14:paraId="1FE2121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a) 1% đối với hoạt động kinh doanh hàng hóa;</w:t>
      </w:r>
    </w:p>
    <w:p w14:paraId="3EDCC0D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b) 5% đối với hoạt động kinh doanh dịch vụ;</w:t>
      </w:r>
    </w:p>
    <w:p w14:paraId="35DED2B2"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c) 2% đối với hoạt động sản xuất, xây dựng, vận tải và hoạt động kinh doanh khác.</w:t>
      </w:r>
    </w:p>
    <w:p w14:paraId="4045C14B"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6" w:name="dieu_26"/>
      <w:r w:rsidRPr="00A731D1">
        <w:rPr>
          <w:rFonts w:ascii="Arial" w:eastAsia="Times New Roman" w:hAnsi="Arial" w:cs="Arial"/>
          <w:b/>
          <w:bCs/>
          <w:color w:val="000000"/>
          <w:sz w:val="18"/>
          <w:szCs w:val="18"/>
          <w:lang w:eastAsia="en-US"/>
        </w:rPr>
        <w:t>Điều 26. Thuế đối với thu nhập từ tiền lương, tiền công</w:t>
      </w:r>
      <w:bookmarkEnd w:id="36"/>
    </w:p>
    <w:p w14:paraId="4F1530C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Thuế đối với thu nhập từ tiền lương, tiền công của cá nhân không cư trú được xác định bằng thu nhập chịu thuế từ tiền lương, tiền công quy định tại khoản 2 Điều này nhân với thuế suất 20%.</w:t>
      </w:r>
    </w:p>
    <w:p w14:paraId="7AFD875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Thu nhập chịu thuế từ tiền lương, tiền công là tổng số tiền lương, tiền công mà cá nhân không cư trú nhận được do thực hiện công việc tại Việt Nam, không phân biệt nơi trả thu nhập.</w:t>
      </w:r>
    </w:p>
    <w:p w14:paraId="6B3E7CF5"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7" w:name="dieu_27"/>
      <w:r w:rsidRPr="00A731D1">
        <w:rPr>
          <w:rFonts w:ascii="Arial" w:eastAsia="Times New Roman" w:hAnsi="Arial" w:cs="Arial"/>
          <w:b/>
          <w:bCs/>
          <w:color w:val="000000"/>
          <w:sz w:val="18"/>
          <w:szCs w:val="18"/>
          <w:lang w:eastAsia="en-US"/>
        </w:rPr>
        <w:t>Điều 27. Thuế đối với thu nhập từ đầu tư vốn</w:t>
      </w:r>
      <w:bookmarkEnd w:id="37"/>
    </w:p>
    <w:p w14:paraId="574CA72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Thuế đối với thu nhập từ đầu tư vốn của cá nhân không cư trú được xác định bằng tổng số tiền mà cá nhân không cư trú nhận được từ việc đầu tư vốn vào tổ chức, cá nhân tại Việt Nam nhân với thuế suất 5%.</w:t>
      </w:r>
    </w:p>
    <w:p w14:paraId="32B68A5F"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8" w:name="dieu_28"/>
      <w:r w:rsidRPr="00A731D1">
        <w:rPr>
          <w:rFonts w:ascii="Arial" w:eastAsia="Times New Roman" w:hAnsi="Arial" w:cs="Arial"/>
          <w:b/>
          <w:bCs/>
          <w:color w:val="000000"/>
          <w:sz w:val="18"/>
          <w:szCs w:val="18"/>
          <w:lang w:eastAsia="en-US"/>
        </w:rPr>
        <w:t>Điều 28. Thuế đối với thu nhập từ chuyển nhượng vốn</w:t>
      </w:r>
      <w:bookmarkEnd w:id="38"/>
    </w:p>
    <w:p w14:paraId="1FE71F4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Thuế đối với thu nhập từ chuyển nhượng vốn của cá nhân không cư trú được xác định bằng tổng số tiền mà cá nhân không cư trú nhận được từ việc chuyển nhượng phần vốn tại tổ chức, cá nhân Việt Nam nhân với thuế suất 0,1%, không phân biệt việc chuyển nhượng được thực hiện tại Việt Nam hay tại nước ngoài.</w:t>
      </w:r>
    </w:p>
    <w:p w14:paraId="00A6B1B2"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39" w:name="dieu_29"/>
      <w:r w:rsidRPr="00A731D1">
        <w:rPr>
          <w:rFonts w:ascii="Arial" w:eastAsia="Times New Roman" w:hAnsi="Arial" w:cs="Arial"/>
          <w:b/>
          <w:bCs/>
          <w:color w:val="000000"/>
          <w:sz w:val="18"/>
          <w:szCs w:val="18"/>
          <w:lang w:eastAsia="en-US"/>
        </w:rPr>
        <w:t>Điều 29. Thuế đối với thu nhập từ chuyển nhượng bất động sản</w:t>
      </w:r>
      <w:bookmarkEnd w:id="39"/>
    </w:p>
    <w:p w14:paraId="15FBAC2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Thuế đối với thu nhập từ chuyển nhượng bất động sản tại Việt Nam của cá nhân không cư trú được xác định bằng giá chuyển nhượng bất động sản nhân với thuế suất 2%.</w:t>
      </w:r>
    </w:p>
    <w:p w14:paraId="7308B16E"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0" w:name="dieu_30"/>
      <w:r w:rsidRPr="00A731D1">
        <w:rPr>
          <w:rFonts w:ascii="Arial" w:eastAsia="Times New Roman" w:hAnsi="Arial" w:cs="Arial"/>
          <w:b/>
          <w:bCs/>
          <w:color w:val="000000"/>
          <w:sz w:val="18"/>
          <w:szCs w:val="18"/>
          <w:lang w:eastAsia="en-US"/>
        </w:rPr>
        <w:t>Điều 30. Thuế đối với thu nhập từ bản quyền, nhượng quyền thương mại</w:t>
      </w:r>
      <w:bookmarkEnd w:id="40"/>
    </w:p>
    <w:p w14:paraId="2F8BBD1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14:paraId="1EE0E6D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Thuế đối với thu nhập từ nhượng quyền thương mại của cá nhân không cư trú được xác định bằng phần thu nhập vượt trên 10 triệu đồng theo từng hợp đồng nhượng quyền thương mại tại Việt Nam nhân với thuế suất 5%.</w:t>
      </w:r>
    </w:p>
    <w:p w14:paraId="35052372"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1" w:name="dieu_31"/>
      <w:r w:rsidRPr="00A731D1">
        <w:rPr>
          <w:rFonts w:ascii="Arial" w:eastAsia="Times New Roman" w:hAnsi="Arial" w:cs="Arial"/>
          <w:b/>
          <w:bCs/>
          <w:color w:val="000000"/>
          <w:sz w:val="18"/>
          <w:szCs w:val="18"/>
          <w:lang w:eastAsia="en-US"/>
        </w:rPr>
        <w:t>Điều 31. Thuế đối với thu nhập từ trúng thưởng, thừa kế, quà tặng</w:t>
      </w:r>
      <w:bookmarkEnd w:id="41"/>
    </w:p>
    <w:p w14:paraId="212D959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Thuế đối với thu nhập từ trúng thưởng, thừa kế, quà tặng của cá nhân không cư trú được xác định bằng thu nhập chịu thuế quy định tại khoản 2 Điều này nhân với thuế suất 10%.</w:t>
      </w:r>
    </w:p>
    <w:p w14:paraId="6CD1B9F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Thu nhập chịu thuế từ trúng thưởng của cá nhân không cư trú là phần giá trị giải thưởng vượt trên 10 triệu đồng theo từng lần trúng thưởng tại Việt Nam; thu nhập từ nhận thừa kế, quà tặng là phần giá trị tài sản thừa kế, quà tặng vượt trên 10 triệu đồng theo từng lần phát sinh thu nhập mà cá nhân không cư trú nhận được tại Việt Nam.</w:t>
      </w:r>
    </w:p>
    <w:p w14:paraId="44D93F2F"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2" w:name="dieu_32"/>
      <w:r w:rsidRPr="00A731D1">
        <w:rPr>
          <w:rFonts w:ascii="Arial" w:eastAsia="Times New Roman" w:hAnsi="Arial" w:cs="Arial"/>
          <w:b/>
          <w:bCs/>
          <w:color w:val="000000"/>
          <w:sz w:val="18"/>
          <w:szCs w:val="18"/>
          <w:lang w:eastAsia="en-US"/>
        </w:rPr>
        <w:t>Điều 32. Thời điểm xác định thu nhập chịu thuế</w:t>
      </w:r>
      <w:bookmarkEnd w:id="42"/>
    </w:p>
    <w:p w14:paraId="5D59B5E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Thời điểm xác định thu nhập chịu thuế đối với thu nhập quy định tại Điều 25 của Luật này là thời điểm cá nhân không cư trú nhận được thu nhập hoặc thời điểm xuất hóa đơn bán hàng hóa, cung cấp dịch vụ.</w:t>
      </w:r>
    </w:p>
    <w:p w14:paraId="55A54CB8"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Thời điểm xác định thu nhập chịu thuế đối với thu nhập quy định tại các điều 26, 27, 30 và 31 của Luật này là thời điểm tổ chức, cá nhân ở Việt Nam trả thu nhập cho cá nhân không cư trú hoặc thời điểm cá nhân không cư trú nhận được thu nhập từ tổ chức, cá nhân ở nước ngoài.</w:t>
      </w:r>
    </w:p>
    <w:p w14:paraId="417CFFD7"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3. Thời điểm xác định thu nhập chịu thuế đối với thu nhập quy định tại Điều 28 và Điều 29 của Luật này là thời điểm hợp đồng chuyển nhượng có hiệu lực.</w:t>
      </w:r>
    </w:p>
    <w:p w14:paraId="736FC281"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3" w:name="dieu_33"/>
      <w:r w:rsidRPr="00A731D1">
        <w:rPr>
          <w:rFonts w:ascii="Arial" w:eastAsia="Times New Roman" w:hAnsi="Arial" w:cs="Arial"/>
          <w:b/>
          <w:bCs/>
          <w:color w:val="000000"/>
          <w:sz w:val="18"/>
          <w:szCs w:val="18"/>
          <w:lang w:eastAsia="en-US"/>
        </w:rPr>
        <w:lastRenderedPageBreak/>
        <w:t>Điều 33. Trách nhiệm của tổ chức, cá nhân trả thu nhập và trách nhiệm của đối tượng nộp thuế là cá nhân không cư trú</w:t>
      </w:r>
      <w:bookmarkEnd w:id="43"/>
    </w:p>
    <w:p w14:paraId="2185C22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Tổ chức, cá nhân trả thu nhập có trách nhiệm khấu trừ và nộp thuế vào ngân sách nhà nước theo từng lần phát sinh đối với các khoản thu nhập chịu thuế trả cho đối tượng nộp thuế.</w:t>
      </w:r>
    </w:p>
    <w:p w14:paraId="2377272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Đối tượng nộp thuế là cá nhân không cư trú có trách nhiệm kê khai, nộp thuế theo từng lần phát sinh thu nhập đối với thu nhập chịu thuế theo quy định của pháp luật về quản lý thuế.</w:t>
      </w:r>
    </w:p>
    <w:p w14:paraId="2D2668E6"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4" w:name="chuong_4"/>
      <w:r w:rsidRPr="00A731D1">
        <w:rPr>
          <w:rFonts w:ascii="Arial" w:eastAsia="Times New Roman" w:hAnsi="Arial" w:cs="Arial"/>
          <w:b/>
          <w:bCs/>
          <w:color w:val="000000"/>
          <w:sz w:val="18"/>
          <w:szCs w:val="18"/>
          <w:lang w:eastAsia="en-US"/>
        </w:rPr>
        <w:t>Chương IV</w:t>
      </w:r>
      <w:bookmarkEnd w:id="44"/>
    </w:p>
    <w:p w14:paraId="359315F3" w14:textId="77777777" w:rsidR="00A731D1" w:rsidRPr="00A731D1" w:rsidRDefault="00A731D1" w:rsidP="00A731D1">
      <w:pPr>
        <w:shd w:val="clear" w:color="auto" w:fill="FFFFFF"/>
        <w:spacing w:after="0" w:line="234" w:lineRule="atLeast"/>
        <w:jc w:val="center"/>
        <w:rPr>
          <w:rFonts w:ascii="Arial" w:eastAsia="Times New Roman" w:hAnsi="Arial" w:cs="Arial"/>
          <w:color w:val="000000"/>
          <w:sz w:val="18"/>
          <w:szCs w:val="18"/>
          <w:lang w:val="en-US" w:eastAsia="en-US"/>
        </w:rPr>
      </w:pPr>
      <w:bookmarkStart w:id="45" w:name="chuong_4_name"/>
      <w:r w:rsidRPr="00A731D1">
        <w:rPr>
          <w:rFonts w:ascii="Arial" w:eastAsia="Times New Roman" w:hAnsi="Arial" w:cs="Arial"/>
          <w:b/>
          <w:bCs/>
          <w:color w:val="000000"/>
          <w:sz w:val="24"/>
          <w:szCs w:val="24"/>
          <w:lang w:eastAsia="en-US"/>
        </w:rPr>
        <w:t>ĐIỀU KHOẢN THI HÀNH</w:t>
      </w:r>
      <w:bookmarkEnd w:id="45"/>
      <w:r w:rsidRPr="00A731D1">
        <w:rPr>
          <w:rFonts w:ascii="Arial" w:eastAsia="Times New Roman" w:hAnsi="Arial" w:cs="Arial"/>
          <w:color w:val="000000"/>
          <w:sz w:val="18"/>
          <w:szCs w:val="18"/>
          <w:lang w:val="en-US" w:eastAsia="en-US"/>
        </w:rPr>
        <w:fldChar w:fldCharType="begin"/>
      </w:r>
      <w:r w:rsidRPr="00A731D1">
        <w:rPr>
          <w:rFonts w:ascii="Arial" w:eastAsia="Times New Roman" w:hAnsi="Arial" w:cs="Arial"/>
          <w:color w:val="000000"/>
          <w:sz w:val="18"/>
          <w:szCs w:val="18"/>
          <w:lang w:val="en-US" w:eastAsia="en-US"/>
        </w:rPr>
        <w:instrText xml:space="preserve"> HYPERLINK "https://thuvienphapluat.vn/van-ban/Thue-Phi-Le-Phi/Van-ban-hop-nhat-15-VBHN-VPQH-2014-hop-nhat-Luat-thue-thu-nhap-ca-nhan-264500.aspx" \l "_ftn19" \o "" </w:instrText>
      </w:r>
      <w:r w:rsidRPr="00A731D1">
        <w:rPr>
          <w:rFonts w:ascii="Arial" w:eastAsia="Times New Roman" w:hAnsi="Arial" w:cs="Arial"/>
          <w:color w:val="000000"/>
          <w:sz w:val="18"/>
          <w:szCs w:val="18"/>
          <w:lang w:val="en-US" w:eastAsia="en-US"/>
        </w:rPr>
        <w:fldChar w:fldCharType="separate"/>
      </w:r>
      <w:r w:rsidRPr="00A731D1">
        <w:rPr>
          <w:rFonts w:ascii="Arial" w:eastAsia="Times New Roman" w:hAnsi="Arial" w:cs="Arial"/>
          <w:b/>
          <w:bCs/>
          <w:color w:val="000000"/>
          <w:sz w:val="18"/>
          <w:szCs w:val="18"/>
          <w:u w:val="single"/>
          <w:lang w:eastAsia="en-US"/>
        </w:rPr>
        <w:t>19</w:t>
      </w:r>
      <w:r w:rsidRPr="00A731D1">
        <w:rPr>
          <w:rFonts w:ascii="Arial" w:eastAsia="Times New Roman" w:hAnsi="Arial" w:cs="Arial"/>
          <w:color w:val="000000"/>
          <w:sz w:val="18"/>
          <w:szCs w:val="18"/>
          <w:lang w:val="en-US" w:eastAsia="en-US"/>
        </w:rPr>
        <w:fldChar w:fldCharType="end"/>
      </w:r>
    </w:p>
    <w:p w14:paraId="66BDCF4F"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6" w:name="dieu_34"/>
      <w:r w:rsidRPr="00A731D1">
        <w:rPr>
          <w:rFonts w:ascii="Arial" w:eastAsia="Times New Roman" w:hAnsi="Arial" w:cs="Arial"/>
          <w:b/>
          <w:bCs/>
          <w:color w:val="000000"/>
          <w:sz w:val="18"/>
          <w:szCs w:val="18"/>
          <w:lang w:eastAsia="en-US"/>
        </w:rPr>
        <w:t>Điều 34. Hiệu lực thi hành</w:t>
      </w:r>
      <w:bookmarkEnd w:id="46"/>
    </w:p>
    <w:p w14:paraId="1AC70735"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1. Luật này có hiệu lực thi hành từ ngày 01 tháng 01 năm 2009.</w:t>
      </w:r>
    </w:p>
    <w:p w14:paraId="606C393E"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2. Bãi bỏ các văn bản, quy định sau đây:</w:t>
      </w:r>
    </w:p>
    <w:p w14:paraId="32DCFA2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a) Pháp lệnh thuế thu nhập đối với người có thu nhập cao số 35/2001/PL- UBTVQH10 đã được sửa đổi, bổ sung một số điều theo Pháp lệnh số 14/2004/PL- UBTVQH11;</w:t>
      </w:r>
    </w:p>
    <w:p w14:paraId="62769DCF"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b) Luật thuế chuyển quyền sử dụng đất ban hành ngày 22 tháng 6 năm 1994 đã được sửa đổi, bổ sung một số điều theo Luật số 17/1999/QH10;</w:t>
      </w:r>
    </w:p>
    <w:p w14:paraId="7B910C0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c) Quy định về thuế thu nhập doanh nghiệp đối với cá nhân sản xuất, kinh doanh không bao gồm doanh nghiệp tư nhân theo quy định của Luật thuế thu nhập doanh nghiệp số 09/2003/QH11;</w:t>
      </w:r>
    </w:p>
    <w:p w14:paraId="06865B3B"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d) Các quy định khác về thuế đối với thu nhập của cá nhân trái với quy định của Luật này.</w:t>
      </w:r>
    </w:p>
    <w:p w14:paraId="6B66AA64"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3. Những khoản thu nhập của cá nhân được ưu đãi về thuế quy định tại các văn bản quy phạm pháp luật trước ngày Luật này có hiệu lực thi hành thì tiếp tục được hưởng ưu đãi.</w:t>
      </w:r>
    </w:p>
    <w:p w14:paraId="5CA3B4DD" w14:textId="77777777" w:rsidR="00A731D1" w:rsidRPr="00A731D1" w:rsidRDefault="00A731D1" w:rsidP="00A731D1">
      <w:pPr>
        <w:shd w:val="clear" w:color="auto" w:fill="FFFFFF"/>
        <w:spacing w:after="0" w:line="234" w:lineRule="atLeast"/>
        <w:rPr>
          <w:rFonts w:ascii="Arial" w:eastAsia="Times New Roman" w:hAnsi="Arial" w:cs="Arial"/>
          <w:color w:val="000000"/>
          <w:sz w:val="18"/>
          <w:szCs w:val="18"/>
          <w:lang w:val="en-US" w:eastAsia="en-US"/>
        </w:rPr>
      </w:pPr>
      <w:bookmarkStart w:id="47" w:name="dieu_35"/>
      <w:r w:rsidRPr="00A731D1">
        <w:rPr>
          <w:rFonts w:ascii="Arial" w:eastAsia="Times New Roman" w:hAnsi="Arial" w:cs="Arial"/>
          <w:b/>
          <w:bCs/>
          <w:color w:val="000000"/>
          <w:sz w:val="18"/>
          <w:szCs w:val="18"/>
          <w:lang w:eastAsia="en-US"/>
        </w:rPr>
        <w:t>Điều 35. Hướng dẫn thi hành</w:t>
      </w:r>
      <w:bookmarkEnd w:id="47"/>
    </w:p>
    <w:p w14:paraId="0F5E69EA"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eastAsia="en-US"/>
        </w:rPr>
        <w:t>Chính phủ quy định chi tiết và hướng dẫn thi hành Luật này./.</w:t>
      </w:r>
    </w:p>
    <w:p w14:paraId="3411F180"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vertAlign w:val="subscript"/>
          <w:lang w:eastAsia="en-US"/>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731D1" w:rsidRPr="00A731D1" w14:paraId="2A9ED56B" w14:textId="77777777" w:rsidTr="00A731D1">
        <w:trPr>
          <w:tblCellSpacing w:w="0" w:type="dxa"/>
        </w:trPr>
        <w:tc>
          <w:tcPr>
            <w:tcW w:w="4428" w:type="dxa"/>
            <w:tcMar>
              <w:top w:w="0" w:type="dxa"/>
              <w:left w:w="108" w:type="dxa"/>
              <w:bottom w:w="0" w:type="dxa"/>
              <w:right w:w="108" w:type="dxa"/>
            </w:tcMar>
            <w:hideMark/>
          </w:tcPr>
          <w:p w14:paraId="2F6A9DE2" w14:textId="77777777" w:rsidR="00A731D1" w:rsidRPr="00A731D1" w:rsidRDefault="00A731D1" w:rsidP="00A731D1">
            <w:pPr>
              <w:spacing w:before="120" w:after="120" w:line="234" w:lineRule="atLeast"/>
              <w:rPr>
                <w:rFonts w:ascii="Times New Roman" w:eastAsia="Times New Roman" w:hAnsi="Times New Roman"/>
                <w:sz w:val="24"/>
                <w:szCs w:val="24"/>
                <w:lang w:val="en-US" w:eastAsia="en-US"/>
              </w:rPr>
            </w:pPr>
            <w:r w:rsidRPr="00A731D1">
              <w:rPr>
                <w:rFonts w:ascii="Times New Roman" w:eastAsia="Times New Roman" w:hAnsi="Times New Roman"/>
                <w:sz w:val="24"/>
                <w:szCs w:val="24"/>
                <w:lang w:val="en-US" w:eastAsia="en-US"/>
              </w:rPr>
              <w:t> </w:t>
            </w:r>
          </w:p>
        </w:tc>
        <w:tc>
          <w:tcPr>
            <w:tcW w:w="4428" w:type="dxa"/>
            <w:tcMar>
              <w:top w:w="0" w:type="dxa"/>
              <w:left w:w="108" w:type="dxa"/>
              <w:bottom w:w="0" w:type="dxa"/>
              <w:right w:w="108" w:type="dxa"/>
            </w:tcMar>
            <w:hideMark/>
          </w:tcPr>
          <w:p w14:paraId="2837AD89"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XÁC THỰC VĂN BẢN HỢP NHẤT</w:t>
            </w:r>
          </w:p>
          <w:p w14:paraId="7B0930B7" w14:textId="77777777" w:rsidR="00A731D1" w:rsidRPr="00A731D1" w:rsidRDefault="00A731D1" w:rsidP="00A731D1">
            <w:pPr>
              <w:spacing w:before="120" w:after="120" w:line="234" w:lineRule="atLeast"/>
              <w:jc w:val="center"/>
              <w:rPr>
                <w:rFonts w:ascii="Times New Roman" w:eastAsia="Times New Roman" w:hAnsi="Times New Roman"/>
                <w:sz w:val="24"/>
                <w:szCs w:val="24"/>
                <w:lang w:val="en-US" w:eastAsia="en-US"/>
              </w:rPr>
            </w:pPr>
            <w:r w:rsidRPr="00A731D1">
              <w:rPr>
                <w:rFonts w:ascii="Times New Roman" w:eastAsia="Times New Roman" w:hAnsi="Times New Roman"/>
                <w:b/>
                <w:bCs/>
                <w:sz w:val="24"/>
                <w:szCs w:val="24"/>
                <w:lang w:val="en-US" w:eastAsia="en-US"/>
              </w:rPr>
              <w:t>CHỦ NHIỆM</w:t>
            </w:r>
            <w:r w:rsidRPr="00A731D1">
              <w:rPr>
                <w:rFonts w:ascii="Times New Roman" w:eastAsia="Times New Roman" w:hAnsi="Times New Roman"/>
                <w:b/>
                <w:bCs/>
                <w:sz w:val="24"/>
                <w:szCs w:val="24"/>
                <w:lang w:val="en-US" w:eastAsia="en-US"/>
              </w:rPr>
              <w:br/>
            </w:r>
            <w:r w:rsidRPr="00A731D1">
              <w:rPr>
                <w:rFonts w:ascii="Times New Roman" w:eastAsia="Times New Roman" w:hAnsi="Times New Roman"/>
                <w:b/>
                <w:bCs/>
                <w:sz w:val="24"/>
                <w:szCs w:val="24"/>
                <w:lang w:val="en-US" w:eastAsia="en-US"/>
              </w:rPr>
              <w:br/>
            </w:r>
            <w:r w:rsidRPr="00A731D1">
              <w:rPr>
                <w:rFonts w:ascii="Times New Roman" w:eastAsia="Times New Roman" w:hAnsi="Times New Roman"/>
                <w:b/>
                <w:bCs/>
                <w:sz w:val="24"/>
                <w:szCs w:val="24"/>
                <w:lang w:val="en-US" w:eastAsia="en-US"/>
              </w:rPr>
              <w:br/>
            </w:r>
            <w:r w:rsidRPr="00A731D1">
              <w:rPr>
                <w:rFonts w:ascii="Times New Roman" w:eastAsia="Times New Roman" w:hAnsi="Times New Roman"/>
                <w:b/>
                <w:bCs/>
                <w:sz w:val="24"/>
                <w:szCs w:val="24"/>
                <w:lang w:val="en-US" w:eastAsia="en-US"/>
              </w:rPr>
              <w:br/>
            </w:r>
            <w:r w:rsidRPr="00A731D1">
              <w:rPr>
                <w:rFonts w:ascii="Times New Roman" w:eastAsia="Times New Roman" w:hAnsi="Times New Roman"/>
                <w:sz w:val="24"/>
                <w:szCs w:val="24"/>
                <w:lang w:val="en-US" w:eastAsia="en-US"/>
              </w:rPr>
              <w:br/>
            </w:r>
            <w:r w:rsidRPr="00A731D1">
              <w:rPr>
                <w:rFonts w:ascii="Times New Roman" w:eastAsia="Times New Roman" w:hAnsi="Times New Roman"/>
                <w:b/>
                <w:bCs/>
                <w:sz w:val="24"/>
                <w:szCs w:val="24"/>
                <w:lang w:val="en-US" w:eastAsia="en-US"/>
              </w:rPr>
              <w:t>Nguyễn Hạnh Phúc</w:t>
            </w:r>
          </w:p>
        </w:tc>
      </w:tr>
    </w:tbl>
    <w:p w14:paraId="2A6E23F1" w14:textId="77777777" w:rsidR="00A731D1" w:rsidRPr="00A731D1" w:rsidRDefault="00A731D1" w:rsidP="00A731D1">
      <w:pPr>
        <w:shd w:val="clear" w:color="auto" w:fill="FFFFFF"/>
        <w:spacing w:before="120" w:after="120" w:line="234" w:lineRule="atLeast"/>
        <w:rPr>
          <w:rFonts w:ascii="Arial" w:eastAsia="Times New Roman" w:hAnsi="Arial" w:cs="Arial"/>
          <w:color w:val="000000"/>
          <w:sz w:val="18"/>
          <w:szCs w:val="18"/>
          <w:lang w:val="en-US" w:eastAsia="en-US"/>
        </w:rPr>
      </w:pPr>
      <w:r w:rsidRPr="00A731D1">
        <w:rPr>
          <w:rFonts w:ascii="Arial" w:eastAsia="Times New Roman" w:hAnsi="Arial" w:cs="Arial"/>
          <w:color w:val="000000"/>
          <w:sz w:val="24"/>
          <w:szCs w:val="24"/>
          <w:lang w:eastAsia="en-US"/>
        </w:rPr>
        <w:br w:type="textWrapping" w:clear="all"/>
      </w:r>
    </w:p>
    <w:p w14:paraId="5E65A59F" w14:textId="77777777" w:rsidR="00A731D1" w:rsidRPr="00A731D1" w:rsidRDefault="00A731D1" w:rsidP="00A731D1">
      <w:pPr>
        <w:shd w:val="clear" w:color="auto" w:fill="FFFFFF"/>
        <w:spacing w:after="0" w:line="240" w:lineRule="auto"/>
        <w:rPr>
          <w:rFonts w:ascii="Arial" w:eastAsia="Times New Roman" w:hAnsi="Arial" w:cs="Arial"/>
          <w:color w:val="000000"/>
          <w:sz w:val="24"/>
          <w:szCs w:val="24"/>
          <w:lang w:val="en-US" w:eastAsia="en-US"/>
        </w:rPr>
      </w:pPr>
      <w:r w:rsidRPr="00A731D1">
        <w:rPr>
          <w:rFonts w:ascii="Arial" w:eastAsia="Times New Roman" w:hAnsi="Arial" w:cs="Arial"/>
          <w:color w:val="000000"/>
          <w:sz w:val="24"/>
          <w:szCs w:val="24"/>
          <w:lang w:val="en-US" w:eastAsia="en-US"/>
        </w:rPr>
        <w:pict w14:anchorId="6A3A22B7">
          <v:rect id="_x0000_i1025" style="width:155.1pt;height:.6pt" o:hrpct="330" o:hrstd="t" o:hr="t" fillcolor="#a0a0a0" stroked="f"/>
        </w:pict>
      </w:r>
    </w:p>
    <w:p w14:paraId="7C8FB321"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2" w:anchor="_ftnref1" w:history="1">
        <w:r w:rsidRPr="00A731D1">
          <w:rPr>
            <w:rFonts w:ascii="Arial" w:eastAsia="Times New Roman" w:hAnsi="Arial" w:cs="Arial"/>
            <w:color w:val="000000"/>
            <w:sz w:val="18"/>
            <w:szCs w:val="18"/>
            <w:u w:val="single"/>
            <w:lang w:val="en-US" w:eastAsia="en-US"/>
          </w:rPr>
          <w:t>1</w:t>
        </w:r>
      </w:hyperlink>
      <w:r w:rsidRPr="00A731D1">
        <w:rPr>
          <w:rFonts w:ascii="Arial" w:eastAsia="Times New Roman" w:hAnsi="Arial" w:cs="Arial"/>
          <w:color w:val="000000"/>
          <w:sz w:val="18"/>
          <w:szCs w:val="18"/>
          <w:lang w:val="en-US" w:eastAsia="en-US"/>
        </w:rPr>
        <w:t> Luật số 26/2012/QH13 sửa đổi, bổ sung một số điều của Luật thuế thu nhập cá nhân có căn cứ ban hành như sau:</w:t>
      </w:r>
    </w:p>
    <w:p w14:paraId="2FD7E82F"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w:t>
      </w:r>
      <w:r w:rsidRPr="00A731D1">
        <w:rPr>
          <w:rFonts w:ascii="Arial" w:eastAsia="Times New Roman" w:hAnsi="Arial" w:cs="Arial"/>
          <w:i/>
          <w:iCs/>
          <w:color w:val="000000"/>
          <w:sz w:val="18"/>
          <w:szCs w:val="18"/>
          <w:lang w:val="en-US" w:eastAsia="en-US"/>
        </w:rPr>
        <w:t>Căn cứ Hiến pháp nước Cộng hòa xã hội chủ nghĩa Việt Nam năm 1992 đã được sửa đổi, bổ sung một số điều theo Nghị quyết số 51/2001/QH10;</w:t>
      </w:r>
    </w:p>
    <w:p w14:paraId="08F31BD5"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Quốc hội ban hành Luật sửa đổi, bổ sung một số điều của Luật thuế thu nhập cá nhân số 04/2007/QH12.</w:t>
      </w:r>
      <w:r w:rsidRPr="00A731D1">
        <w:rPr>
          <w:rFonts w:ascii="Arial" w:eastAsia="Times New Roman" w:hAnsi="Arial" w:cs="Arial"/>
          <w:color w:val="000000"/>
          <w:sz w:val="18"/>
          <w:szCs w:val="18"/>
          <w:lang w:val="en-US" w:eastAsia="en-US"/>
        </w:rPr>
        <w:t>”</w:t>
      </w:r>
    </w:p>
    <w:p w14:paraId="717F7C2A"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Luật số 71/2014/QH13 ngày 26 tháng 11 năm 2014 sửa đổi, bổ sung một số điều của các luật về thuế có căn cứ ban hành như sau:</w:t>
      </w:r>
    </w:p>
    <w:p w14:paraId="42CB4388"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w:t>
      </w:r>
      <w:r w:rsidRPr="00A731D1">
        <w:rPr>
          <w:rFonts w:ascii="Arial" w:eastAsia="Times New Roman" w:hAnsi="Arial" w:cs="Arial"/>
          <w:i/>
          <w:iCs/>
          <w:color w:val="000000"/>
          <w:sz w:val="18"/>
          <w:szCs w:val="18"/>
          <w:lang w:val="en-US" w:eastAsia="en-US"/>
        </w:rPr>
        <w:t>Căn cứ Hiến pháp nước Cộng hòa xã hội chủ nghĩa Việt Nam;</w:t>
      </w:r>
    </w:p>
    <w:p w14:paraId="0AEA7E05"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Quốc hội ban hành Luật sửa đổi, bổ sung một số điều của Luật thuế thu nhập doanh nghiệp số 14/2008/QH12 đã được sửa đổi, bổ sung một số điều theo Luật số 32/2013/QH13, Luật thuế thu nhập cá nhân số 04/2007/QH12 đã được sửa đổi, bổ sung một số điều theo Luật số 26/2012/QH13, Luật thuế giá trị gia tăng số 13/2008/QH12 đã được sửa đổi, bổ sung một số điều theo Luật số 31/2013/QH13, Luật thuế tài nguyên số 45/2009/QH12, Luật quản lý thuế số 78/2006/QH11 đã được sửa đổi, bổ sung một số điều theo Luật số 21/2012/QH13, Luật thuế tiêu thụ đặc biệt số 27/2008/QH12, Luật thuế xuất khẩu, thuế nhập khẩu số 45/2005/QH11, Luật hải quan số 54/2014/QH13.</w:t>
      </w:r>
      <w:r w:rsidRPr="00A731D1">
        <w:rPr>
          <w:rFonts w:ascii="Arial" w:eastAsia="Times New Roman" w:hAnsi="Arial" w:cs="Arial"/>
          <w:color w:val="000000"/>
          <w:sz w:val="18"/>
          <w:szCs w:val="18"/>
          <w:lang w:val="en-US" w:eastAsia="en-US"/>
        </w:rPr>
        <w:t>”</w:t>
      </w:r>
    </w:p>
    <w:p w14:paraId="60F12F7A"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3" w:anchor="_ftnref2" w:history="1">
        <w:r w:rsidRPr="00A731D1">
          <w:rPr>
            <w:rFonts w:ascii="Arial" w:eastAsia="Times New Roman" w:hAnsi="Arial" w:cs="Arial"/>
            <w:color w:val="000000"/>
            <w:sz w:val="18"/>
            <w:szCs w:val="18"/>
            <w:u w:val="single"/>
            <w:lang w:val="en-US" w:eastAsia="en-US"/>
          </w:rPr>
          <w:t>2</w:t>
        </w:r>
      </w:hyperlink>
      <w:r w:rsidRPr="00A731D1">
        <w:rPr>
          <w:rFonts w:ascii="Arial" w:eastAsia="Times New Roman" w:hAnsi="Arial" w:cs="Arial"/>
          <w:color w:val="000000"/>
          <w:sz w:val="18"/>
          <w:szCs w:val="18"/>
          <w:lang w:val="en-US" w:eastAsia="en-US"/>
        </w:rPr>
        <w:t> Khoản này được sửa đổi, bổ sung theo quy định tại khoản 1 Điều 2 của Luật số 71/2014/QH13 sửa đổi, bổ sung một số điều của các luật về thuế, có hiệu lực kể từ ngày 01 tháng 01 năm 2015.</w:t>
      </w:r>
    </w:p>
    <w:p w14:paraId="1FB734DD"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4" w:anchor="_ftnref3" w:history="1">
        <w:r w:rsidRPr="00A731D1">
          <w:rPr>
            <w:rFonts w:ascii="Arial" w:eastAsia="Times New Roman" w:hAnsi="Arial" w:cs="Arial"/>
            <w:color w:val="000000"/>
            <w:sz w:val="18"/>
            <w:szCs w:val="18"/>
            <w:u w:val="single"/>
            <w:lang w:val="en-US" w:eastAsia="en-US"/>
          </w:rPr>
          <w:t>3</w:t>
        </w:r>
      </w:hyperlink>
      <w:r w:rsidRPr="00A731D1">
        <w:rPr>
          <w:rFonts w:ascii="Arial" w:eastAsia="Times New Roman" w:hAnsi="Arial" w:cs="Arial"/>
          <w:color w:val="000000"/>
          <w:sz w:val="18"/>
          <w:szCs w:val="18"/>
          <w:lang w:val="en-US" w:eastAsia="en-US"/>
        </w:rPr>
        <w:t> Khoản này được sửa đổi, bổ sung theo quy định tại khoản 1 Điều 1 của Luật số 26/2012/QH13 sửa đổi, bổ sung một số điều của Luật thuế thu nhập cá nhân, có hiệu lực kể từ ngày 01 tháng 7 năm 2013.</w:t>
      </w:r>
    </w:p>
    <w:p w14:paraId="5273B815"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5" w:anchor="_ftnref4" w:history="1">
        <w:r w:rsidRPr="00A731D1">
          <w:rPr>
            <w:rFonts w:ascii="Arial" w:eastAsia="Times New Roman" w:hAnsi="Arial" w:cs="Arial"/>
            <w:color w:val="000000"/>
            <w:sz w:val="18"/>
            <w:szCs w:val="18"/>
            <w:u w:val="single"/>
            <w:lang w:val="en-US" w:eastAsia="en-US"/>
          </w:rPr>
          <w:t>4</w:t>
        </w:r>
      </w:hyperlink>
      <w:r w:rsidRPr="00A731D1">
        <w:rPr>
          <w:rFonts w:ascii="Arial" w:eastAsia="Times New Roman" w:hAnsi="Arial" w:cs="Arial"/>
          <w:color w:val="000000"/>
          <w:sz w:val="18"/>
          <w:szCs w:val="18"/>
          <w:lang w:val="en-US" w:eastAsia="en-US"/>
        </w:rPr>
        <w:t> Khoản này được sửa đổi, bổ sung theo quy định tại khoản 1 Điều 1 của Luật số 26/2012/QH13 sửa đổi, bổ sung một số điều của Luật thuế thu nhập cá nhân, có hiệu lực kể từ ngày 01 tháng 7 năm 2013.</w:t>
      </w:r>
    </w:p>
    <w:p w14:paraId="3C69E781"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6" w:anchor="_ftnref5" w:history="1">
        <w:r w:rsidRPr="00A731D1">
          <w:rPr>
            <w:rFonts w:ascii="Arial" w:eastAsia="Times New Roman" w:hAnsi="Arial" w:cs="Arial"/>
            <w:color w:val="000000"/>
            <w:sz w:val="18"/>
            <w:szCs w:val="18"/>
            <w:u w:val="single"/>
            <w:lang w:val="en-US" w:eastAsia="en-US"/>
          </w:rPr>
          <w:t>5</w:t>
        </w:r>
      </w:hyperlink>
      <w:r w:rsidRPr="00A731D1">
        <w:rPr>
          <w:rFonts w:ascii="Arial" w:eastAsia="Times New Roman" w:hAnsi="Arial" w:cs="Arial"/>
          <w:color w:val="000000"/>
          <w:sz w:val="18"/>
          <w:szCs w:val="18"/>
          <w:lang w:val="en-US" w:eastAsia="en-US"/>
        </w:rPr>
        <w:t> Điểm này được sửa đổi, bổ sung theo quy định tại khoản 2 Điều 2 của Luật số 71/2014/QH13 sửa đổi, bổ sung một số điều của các luật về thuế, có hiệu lực kể từ ngày 01 tháng 01 năm 2015.</w:t>
      </w:r>
    </w:p>
    <w:p w14:paraId="45E30C97"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7" w:anchor="_ftnref6" w:history="1">
        <w:r w:rsidRPr="00A731D1">
          <w:rPr>
            <w:rFonts w:ascii="Arial" w:eastAsia="Times New Roman" w:hAnsi="Arial" w:cs="Arial"/>
            <w:color w:val="000000"/>
            <w:sz w:val="18"/>
            <w:szCs w:val="18"/>
            <w:u w:val="single"/>
            <w:lang w:val="en-US" w:eastAsia="en-US"/>
          </w:rPr>
          <w:t>6</w:t>
        </w:r>
      </w:hyperlink>
      <w:r w:rsidRPr="00A731D1">
        <w:rPr>
          <w:rFonts w:ascii="Arial" w:eastAsia="Times New Roman" w:hAnsi="Arial" w:cs="Arial"/>
          <w:color w:val="000000"/>
          <w:sz w:val="18"/>
          <w:szCs w:val="18"/>
          <w:lang w:eastAsia="en-US"/>
        </w:rPr>
        <w:t> </w:t>
      </w:r>
      <w:r w:rsidRPr="00A731D1">
        <w:rPr>
          <w:rFonts w:ascii="Arial" w:eastAsia="Times New Roman" w:hAnsi="Arial" w:cs="Arial"/>
          <w:color w:val="000000"/>
          <w:sz w:val="18"/>
          <w:szCs w:val="18"/>
          <w:lang w:val="en-US" w:eastAsia="en-US"/>
        </w:rPr>
        <w:t>Khoản này được sửa đổi, bổ sung theo quy định tại khoản 2 Điều 1 của Luật số 26/2012/QH13 sửa đổi, bổ sung một số điều của Luật thuế thu nhập cá nhân, có hiệu lực kể từ ngày 01 tháng 7 năm 2013.</w:t>
      </w:r>
    </w:p>
    <w:p w14:paraId="3266D6B2"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8" w:anchor="_ftnref7" w:history="1">
        <w:r w:rsidRPr="00A731D1">
          <w:rPr>
            <w:rFonts w:ascii="Arial" w:eastAsia="Times New Roman" w:hAnsi="Arial" w:cs="Arial"/>
            <w:color w:val="000000"/>
            <w:sz w:val="18"/>
            <w:szCs w:val="18"/>
            <w:u w:val="single"/>
            <w:lang w:val="en-US" w:eastAsia="en-US"/>
          </w:rPr>
          <w:t>7</w:t>
        </w:r>
      </w:hyperlink>
      <w:r w:rsidRPr="00A731D1">
        <w:rPr>
          <w:rFonts w:ascii="Arial" w:eastAsia="Times New Roman" w:hAnsi="Arial" w:cs="Arial"/>
          <w:color w:val="000000"/>
          <w:sz w:val="18"/>
          <w:szCs w:val="18"/>
          <w:lang w:val="en-US" w:eastAsia="en-US"/>
        </w:rPr>
        <w:t> Khoản này được bổ sung theo quy định tại khoản 3 Điều 2 của Luật số 71/2014/QH13 sửa đổi, bổ sung một số điều của các luật về thuế, có hiệu lực kể từ ngày 01 tháng 01 năm 2015.</w:t>
      </w:r>
    </w:p>
    <w:p w14:paraId="2E473C56"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29" w:anchor="_ftnref8" w:history="1">
        <w:r w:rsidRPr="00A731D1">
          <w:rPr>
            <w:rFonts w:ascii="Arial" w:eastAsia="Times New Roman" w:hAnsi="Arial" w:cs="Arial"/>
            <w:color w:val="000000"/>
            <w:sz w:val="18"/>
            <w:szCs w:val="18"/>
            <w:u w:val="single"/>
            <w:lang w:val="en-US" w:eastAsia="en-US"/>
          </w:rPr>
          <w:t>8</w:t>
        </w:r>
      </w:hyperlink>
      <w:r w:rsidRPr="00A731D1">
        <w:rPr>
          <w:rFonts w:ascii="Arial" w:eastAsia="Times New Roman" w:hAnsi="Arial" w:cs="Arial"/>
          <w:color w:val="000000"/>
          <w:sz w:val="18"/>
          <w:szCs w:val="18"/>
          <w:lang w:val="en-US" w:eastAsia="en-US"/>
        </w:rPr>
        <w:t> Khoản này được bổ sung theo quy định tại khoản 3 Điều 2 của Luật số 71/2014/QH13 sửa đổi, bổ sung một số điều của các luật về thuế, có hiệu lực kể từ ngày 01 tháng 01 năm 2015.</w:t>
      </w:r>
    </w:p>
    <w:p w14:paraId="7DE288A1"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0" w:anchor="_ftnref9" w:history="1">
        <w:r w:rsidRPr="00A731D1">
          <w:rPr>
            <w:rFonts w:ascii="Arial" w:eastAsia="Times New Roman" w:hAnsi="Arial" w:cs="Arial"/>
            <w:color w:val="000000"/>
            <w:sz w:val="18"/>
            <w:szCs w:val="18"/>
            <w:u w:val="single"/>
            <w:lang w:val="en-US" w:eastAsia="en-US"/>
          </w:rPr>
          <w:t>9</w:t>
        </w:r>
      </w:hyperlink>
      <w:r w:rsidRPr="00A731D1">
        <w:rPr>
          <w:rFonts w:ascii="Arial" w:eastAsia="Times New Roman" w:hAnsi="Arial" w:cs="Arial"/>
          <w:color w:val="000000"/>
          <w:sz w:val="18"/>
          <w:szCs w:val="18"/>
          <w:lang w:val="en-US" w:eastAsia="en-US"/>
        </w:rPr>
        <w:t> Bãi bỏ các nội dung quy định về tỷ giá khi xác định doanh thu, chi phí, giá tính thuế, thu nhập tính thuế, thu nhập chịu thuế và thuế nộp ngân sách nhà nước tại khoản này theo quy định tại điểm b khoản 2 Điều 6 của Luật số 71/2014/QH13 sửa đổi, bổ sung một số điều của các luật về thuế, có hiệu lực kể từ ngày 01 tháng 01 năm 2015.</w:t>
      </w:r>
    </w:p>
    <w:p w14:paraId="76A07D13"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1" w:anchor="_ftnref10" w:history="1">
        <w:r w:rsidRPr="00A731D1">
          <w:rPr>
            <w:rFonts w:ascii="Arial" w:eastAsia="Times New Roman" w:hAnsi="Arial" w:cs="Arial"/>
            <w:color w:val="000000"/>
            <w:sz w:val="18"/>
            <w:szCs w:val="18"/>
            <w:u w:val="single"/>
            <w:lang w:val="en-US" w:eastAsia="en-US"/>
          </w:rPr>
          <w:t>10</w:t>
        </w:r>
      </w:hyperlink>
      <w:r w:rsidRPr="00A731D1">
        <w:rPr>
          <w:rFonts w:ascii="Arial" w:eastAsia="Times New Roman" w:hAnsi="Arial" w:cs="Arial"/>
          <w:color w:val="000000"/>
          <w:sz w:val="18"/>
          <w:szCs w:val="18"/>
          <w:lang w:val="en-US" w:eastAsia="en-US"/>
        </w:rPr>
        <w:t> Điểm này được sửa đổi theo quy định tại khoản 3 Điều 1 của Luật số 26/2012/QH13 sửa đổi, bổ sung một số điều của Luật thuế thu nhập cá nhân, có hiệu lực kể từ ngày 01 tháng 7 năm 2013.</w:t>
      </w:r>
    </w:p>
    <w:p w14:paraId="05EB3406"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2" w:anchor="_ftnref11" w:history="1">
        <w:r w:rsidRPr="00A731D1">
          <w:rPr>
            <w:rFonts w:ascii="Arial" w:eastAsia="Times New Roman" w:hAnsi="Arial" w:cs="Arial"/>
            <w:color w:val="000000"/>
            <w:sz w:val="18"/>
            <w:szCs w:val="18"/>
            <w:u w:val="single"/>
            <w:lang w:val="en-US" w:eastAsia="en-US"/>
          </w:rPr>
          <w:t>11</w:t>
        </w:r>
      </w:hyperlink>
      <w:r w:rsidRPr="00A731D1">
        <w:rPr>
          <w:rFonts w:ascii="Arial" w:eastAsia="Times New Roman" w:hAnsi="Arial" w:cs="Arial"/>
          <w:color w:val="000000"/>
          <w:sz w:val="18"/>
          <w:szCs w:val="18"/>
          <w:lang w:val="en-US" w:eastAsia="en-US"/>
        </w:rPr>
        <w:t> Điều này được sửa đổi, bổ sung theo quy định tại khoản 4 Điều 2 của Luật số 71/2014/QH13 sửa đổi, bổ sung một số điều của các luật về thuế, có hiệu lực kể từ ngày 01 tháng 01 năm 2015.</w:t>
      </w:r>
    </w:p>
    <w:p w14:paraId="2B376FDF"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3" w:anchor="_ftnref12" w:history="1">
        <w:r w:rsidRPr="00A731D1">
          <w:rPr>
            <w:rFonts w:ascii="Arial" w:eastAsia="Times New Roman" w:hAnsi="Arial" w:cs="Arial"/>
            <w:color w:val="000000"/>
            <w:sz w:val="18"/>
            <w:szCs w:val="18"/>
            <w:u w:val="single"/>
            <w:lang w:val="en-US" w:eastAsia="en-US"/>
          </w:rPr>
          <w:t>12</w:t>
        </w:r>
      </w:hyperlink>
      <w:r w:rsidRPr="00A731D1">
        <w:rPr>
          <w:rFonts w:ascii="Arial" w:eastAsia="Times New Roman" w:hAnsi="Arial" w:cs="Arial"/>
          <w:color w:val="000000"/>
          <w:sz w:val="18"/>
          <w:szCs w:val="18"/>
          <w:lang w:val="en-US" w:eastAsia="en-US"/>
        </w:rPr>
        <w:t> Điều này được sửa đổi, bổ sung theo quy định tại khoản 5 Điều 2 của Luật số 71/2014/QH13 sửa đổi, bổ sung một số điều của các luật về thuế, có hiệu lực kể từ ngày 01 tháng 01 năm 2015.</w:t>
      </w:r>
    </w:p>
    <w:p w14:paraId="08CB7F81"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4" w:anchor="_ftnref13" w:history="1">
        <w:r w:rsidRPr="00A731D1">
          <w:rPr>
            <w:rFonts w:ascii="Arial" w:eastAsia="Times New Roman" w:hAnsi="Arial" w:cs="Arial"/>
            <w:color w:val="000000"/>
            <w:sz w:val="18"/>
            <w:szCs w:val="18"/>
            <w:u w:val="single"/>
            <w:lang w:val="en-US" w:eastAsia="en-US"/>
          </w:rPr>
          <w:t>13</w:t>
        </w:r>
      </w:hyperlink>
      <w:r w:rsidRPr="00A731D1">
        <w:rPr>
          <w:rFonts w:ascii="Arial" w:eastAsia="Times New Roman" w:hAnsi="Arial" w:cs="Arial"/>
          <w:color w:val="000000"/>
          <w:sz w:val="18"/>
          <w:szCs w:val="18"/>
          <w:lang w:val="en-US" w:eastAsia="en-US"/>
        </w:rPr>
        <w:t> Điều này được sửa đổi, bổ sung theo quy định tại khoản 6 Điều 2 của Luật số 71/2014/QH13 sửa đổi, bổ sung một số điều của các luật về thuế, có hiệu lực kể từ ngày 01 tháng 01 năm 2015.</w:t>
      </w:r>
    </w:p>
    <w:p w14:paraId="01E721E7"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5" w:anchor="_ftnref14" w:history="1">
        <w:r w:rsidRPr="00A731D1">
          <w:rPr>
            <w:rFonts w:ascii="Arial" w:eastAsia="Times New Roman" w:hAnsi="Arial" w:cs="Arial"/>
            <w:color w:val="000000"/>
            <w:sz w:val="18"/>
            <w:szCs w:val="18"/>
            <w:u w:val="single"/>
            <w:lang w:val="en-US" w:eastAsia="en-US"/>
          </w:rPr>
          <w:t>14</w:t>
        </w:r>
      </w:hyperlink>
      <w:r w:rsidRPr="00A731D1">
        <w:rPr>
          <w:rFonts w:ascii="Arial" w:eastAsia="Times New Roman" w:hAnsi="Arial" w:cs="Arial"/>
          <w:color w:val="000000"/>
          <w:sz w:val="18"/>
          <w:szCs w:val="18"/>
          <w:lang w:val="en-US" w:eastAsia="en-US"/>
        </w:rPr>
        <w:t> Khoản này được sửa đổi, bổ sung lần thứ nhất theo quy định tại khoản 4 Điều 1 của Luật số 26/2012/QH13 sửa đổi, bổ sung một số điều của Luật thuế thu nhập cá nhân, có hiệu lực kể từ ngày 01 tháng 7 năm 2013.</w:t>
      </w:r>
    </w:p>
    <w:p w14:paraId="1B0C4A93"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Bãi bỏ các quy định liên quan đến việc xác định thuế đối với cá nhân kinh doanh tại khoản này theo quy định tại khoản 4 Điều 6 của Luật số 71/2014/QH13 sửa đổi, bổ sung một số điều của các luật về thuế, có hiệu lực kể từ ngày 01 tháng 01 năm 2015.</w:t>
      </w:r>
    </w:p>
    <w:p w14:paraId="4195B0F6"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6" w:anchor="_ftnref15" w:history="1">
        <w:r w:rsidRPr="00A731D1">
          <w:rPr>
            <w:rFonts w:ascii="Arial" w:eastAsia="Times New Roman" w:hAnsi="Arial" w:cs="Arial"/>
            <w:color w:val="000000"/>
            <w:sz w:val="18"/>
            <w:szCs w:val="18"/>
            <w:u w:val="single"/>
            <w:lang w:val="en-US" w:eastAsia="en-US"/>
          </w:rPr>
          <w:t>15</w:t>
        </w:r>
      </w:hyperlink>
      <w:r w:rsidRPr="00A731D1">
        <w:rPr>
          <w:rFonts w:ascii="Arial" w:eastAsia="Times New Roman" w:hAnsi="Arial" w:cs="Arial"/>
          <w:color w:val="000000"/>
          <w:sz w:val="18"/>
          <w:szCs w:val="18"/>
          <w:lang w:val="en-US" w:eastAsia="en-US"/>
        </w:rPr>
        <w:t> Bãi bỏ các quy định liên quan đến việc xác định thuế đối với cá nhân kinh doanh tại khoản này theo quy định tại Khoản 4 Điều 6 của Luật số 71/2014/QH13 sửa đổi, bổ sung một số điều của các luật về thuế, có hiệu lực kể từ ngày 01 tháng 01 năm 2015.</w:t>
      </w:r>
    </w:p>
    <w:p w14:paraId="26B2A9C1"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7" w:anchor="_ftnref16" w:history="1">
        <w:r w:rsidRPr="00A731D1">
          <w:rPr>
            <w:rFonts w:ascii="Arial" w:eastAsia="Times New Roman" w:hAnsi="Arial" w:cs="Arial"/>
            <w:color w:val="000000"/>
            <w:sz w:val="18"/>
            <w:szCs w:val="18"/>
            <w:u w:val="single"/>
            <w:lang w:val="en-US" w:eastAsia="en-US"/>
          </w:rPr>
          <w:t>16</w:t>
        </w:r>
      </w:hyperlink>
      <w:r w:rsidRPr="00A731D1">
        <w:rPr>
          <w:rFonts w:ascii="Arial" w:eastAsia="Times New Roman" w:hAnsi="Arial" w:cs="Arial"/>
          <w:color w:val="000000"/>
          <w:sz w:val="18"/>
          <w:szCs w:val="18"/>
          <w:lang w:val="en-US" w:eastAsia="en-US"/>
        </w:rPr>
        <w:t> Khoản này được sửa đổi, bổ sung lần thứ nhất theo quy định tại khoản 5 Điều 1 của Luật số 26/2012/QH13 sửa đổi, bổ sung một số điều của Luật thuế thu nhập cá nhân, có hiệu lực kể từ ngày 01 tháng 7 năm 2013.</w:t>
      </w:r>
    </w:p>
    <w:p w14:paraId="2F272988"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Bãi bỏ các quy định liên quan đến việc xác định thuế đối với cá nhân kinh doanh tại khoản này theo quy định tại Khoản 4 Điều 6 của Luật số 71/2014/QH13 sửa đổi, bổ sung một số điều của các luật về thuế, có hiệu lực kể từ ngày 01 tháng 01 năm 2015.</w:t>
      </w:r>
    </w:p>
    <w:p w14:paraId="0C7106C6"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8" w:anchor="_ftnref17" w:history="1">
        <w:r w:rsidRPr="00A731D1">
          <w:rPr>
            <w:rFonts w:ascii="Arial" w:eastAsia="Times New Roman" w:hAnsi="Arial" w:cs="Arial"/>
            <w:color w:val="000000"/>
            <w:sz w:val="18"/>
            <w:szCs w:val="18"/>
            <w:u w:val="single"/>
            <w:lang w:val="en-US" w:eastAsia="en-US"/>
          </w:rPr>
          <w:t>17</w:t>
        </w:r>
      </w:hyperlink>
      <w:r w:rsidRPr="00A731D1">
        <w:rPr>
          <w:rFonts w:ascii="Arial" w:eastAsia="Times New Roman" w:hAnsi="Arial" w:cs="Arial"/>
          <w:color w:val="000000"/>
          <w:sz w:val="18"/>
          <w:szCs w:val="18"/>
          <w:lang w:val="en-US" w:eastAsia="en-US"/>
        </w:rPr>
        <w:t> Khoản này được sửa đổi, bổ sung theo quy định tại khoản 7 Điều 2 của Luật số 71/2014/QH13 sửa đổi, bổ sung một số điều của các luật về thuế, có hiệu lực kể từ ngày 01 tháng 01 năm 2015.</w:t>
      </w:r>
    </w:p>
    <w:p w14:paraId="671D8E87"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39" w:anchor="_ftnref18" w:history="1">
        <w:r w:rsidRPr="00A731D1">
          <w:rPr>
            <w:rFonts w:ascii="Arial" w:eastAsia="Times New Roman" w:hAnsi="Arial" w:cs="Arial"/>
            <w:color w:val="000000"/>
            <w:sz w:val="18"/>
            <w:szCs w:val="18"/>
            <w:u w:val="single"/>
            <w:lang w:val="en-US" w:eastAsia="en-US"/>
          </w:rPr>
          <w:t>18</w:t>
        </w:r>
      </w:hyperlink>
      <w:r w:rsidRPr="00A731D1">
        <w:rPr>
          <w:rFonts w:ascii="Arial" w:eastAsia="Times New Roman" w:hAnsi="Arial" w:cs="Arial"/>
          <w:color w:val="000000"/>
          <w:sz w:val="18"/>
          <w:szCs w:val="18"/>
          <w:lang w:val="en-US" w:eastAsia="en-US"/>
        </w:rPr>
        <w:t> Điều này được sửa đổi, bổ sung theo quy định tại khoản 6 Điều 1 của Luật số 26/2012/QH13 sửa đổi, bổ sung một số điều của Luật thuế thu nhập cá nhân, có hiệu lực kể từ ngày 01 tháng 7 năm 2013.</w:t>
      </w:r>
    </w:p>
    <w:p w14:paraId="73F1BE83" w14:textId="77777777" w:rsidR="00A731D1" w:rsidRPr="00A731D1" w:rsidRDefault="00A731D1" w:rsidP="00A731D1">
      <w:pPr>
        <w:shd w:val="clear" w:color="auto" w:fill="FFFFFF"/>
        <w:spacing w:after="0" w:line="234" w:lineRule="atLeast"/>
        <w:ind w:right="43"/>
        <w:rPr>
          <w:rFonts w:ascii="Arial" w:eastAsia="Times New Roman" w:hAnsi="Arial" w:cs="Arial"/>
          <w:color w:val="000000"/>
          <w:sz w:val="18"/>
          <w:szCs w:val="18"/>
          <w:lang w:val="en-US" w:eastAsia="en-US"/>
        </w:rPr>
      </w:pPr>
      <w:hyperlink r:id="rId40" w:anchor="_ftnref19" w:history="1">
        <w:r w:rsidRPr="00A731D1">
          <w:rPr>
            <w:rFonts w:ascii="Arial" w:eastAsia="Times New Roman" w:hAnsi="Arial" w:cs="Arial"/>
            <w:color w:val="000000"/>
            <w:sz w:val="18"/>
            <w:szCs w:val="18"/>
            <w:u w:val="single"/>
            <w:lang w:val="en-US" w:eastAsia="en-US"/>
          </w:rPr>
          <w:t>19</w:t>
        </w:r>
      </w:hyperlink>
      <w:r w:rsidRPr="00A731D1">
        <w:rPr>
          <w:rFonts w:ascii="Arial" w:eastAsia="Times New Roman" w:hAnsi="Arial" w:cs="Arial"/>
          <w:color w:val="000000"/>
          <w:sz w:val="18"/>
          <w:szCs w:val="18"/>
          <w:lang w:val="en-US" w:eastAsia="en-US"/>
        </w:rPr>
        <w:t> Điều 2 của Luật số 26/2012/QH13 sửa đổi, bổ sung một số điều của Luật thuế thu nhập cá nhân, có hiệu lực kể từ ngày 01 tháng 7 năm 2013 quy định như sau:</w:t>
      </w:r>
    </w:p>
    <w:p w14:paraId="1C268FE4"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w:t>
      </w:r>
      <w:r w:rsidRPr="00A731D1">
        <w:rPr>
          <w:rFonts w:ascii="Arial" w:eastAsia="Times New Roman" w:hAnsi="Arial" w:cs="Arial"/>
          <w:b/>
          <w:bCs/>
          <w:i/>
          <w:iCs/>
          <w:color w:val="000000"/>
          <w:sz w:val="18"/>
          <w:szCs w:val="18"/>
          <w:lang w:val="en-US" w:eastAsia="en-US"/>
        </w:rPr>
        <w:t>Điều 2</w:t>
      </w:r>
    </w:p>
    <w:p w14:paraId="0E6AF1AD"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1. Luật này có hiệu lực thi hành từ ngày 01 tháng 7 năm 2013.</w:t>
      </w:r>
    </w:p>
    <w:p w14:paraId="37C63724"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2. Chính phủ quy định chi tiết, hướng dẫn thi hành các điều, khoản được giao trong Luật.</w:t>
      </w:r>
      <w:r w:rsidRPr="00A731D1">
        <w:rPr>
          <w:rFonts w:ascii="Arial" w:eastAsia="Times New Roman" w:hAnsi="Arial" w:cs="Arial"/>
          <w:color w:val="000000"/>
          <w:sz w:val="18"/>
          <w:szCs w:val="18"/>
          <w:lang w:val="en-US" w:eastAsia="en-US"/>
        </w:rPr>
        <w:t>”</w:t>
      </w:r>
    </w:p>
    <w:p w14:paraId="4A3E29E2"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Điều 6 của Luật số 71/2014/QH13 sửa đổi, bổ sung một số điều của các luật về thuế, có hiệu lực kể từ ngày 01 tháng 01 năm 2015 quy định như sau:</w:t>
      </w:r>
    </w:p>
    <w:p w14:paraId="4DD999B8"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color w:val="000000"/>
          <w:sz w:val="18"/>
          <w:szCs w:val="18"/>
          <w:lang w:val="en-US" w:eastAsia="en-US"/>
        </w:rPr>
        <w:t>“</w:t>
      </w:r>
      <w:r w:rsidRPr="00A731D1">
        <w:rPr>
          <w:rFonts w:ascii="Arial" w:eastAsia="Times New Roman" w:hAnsi="Arial" w:cs="Arial"/>
          <w:b/>
          <w:bCs/>
          <w:i/>
          <w:iCs/>
          <w:color w:val="000000"/>
          <w:sz w:val="18"/>
          <w:szCs w:val="18"/>
          <w:lang w:val="en-US" w:eastAsia="en-US"/>
        </w:rPr>
        <w:t>Điều 6</w:t>
      </w:r>
    </w:p>
    <w:p w14:paraId="2FEB00C9"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1. Luật này có hiệu lực thi hành từ ngày 01 tháng 01 năm 2015.</w:t>
      </w:r>
    </w:p>
    <w:p w14:paraId="6589E9CC"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2. Bãi bỏ các nội dung quy định về tỷ giá khi xác định doanh thu, chi phí, giá tính thuế, thu nhập tính thuế, thu nhập chịu thuế và thuế nộp ngân sách nhà nước tại:</w:t>
      </w:r>
    </w:p>
    <w:p w14:paraId="76DB1B96"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a) Điều 8 và khoản 3 Điều 9 của Luật thuế thu nhập doanh nghiệp số 14/2008/QH12 đã được sửa đổi, bổ sung một số điều theo Luật số 32/2013/QH13;</w:t>
      </w:r>
    </w:p>
    <w:p w14:paraId="4EBE3996"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b) Khoản 1 Điều 6 của Luật thuế thu nhập cá nhân số 04/2007/QH12 đã được sửa đổi, bổ sung một số điều theo Luật số 26/2012/QH13;</w:t>
      </w:r>
    </w:p>
    <w:p w14:paraId="72B3FF23"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lastRenderedPageBreak/>
        <w:t>c) Khoản 3 Điều 7 của Luật thuế giá trị gia tăng số 13/2008/QH12 đã được sửa đổi, bổ sung một số điều theo Luật số 31/2013/QH13;</w:t>
      </w:r>
    </w:p>
    <w:p w14:paraId="7E4FE523"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d) Điều 6 của Luật thuế tiêu thụ đặc biệt số 27/2008/QH12;</w:t>
      </w:r>
    </w:p>
    <w:p w14:paraId="5A1660A1"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đ) Khoản 3 Điều 9 và Điều 14 của Luật thuế xuất khẩu, thuế nhập khẩu số 45/2005/QH11;</w:t>
      </w:r>
    </w:p>
    <w:p w14:paraId="2785F681"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e) Khoản 4 Điều 86 của Luật hải quan số 54/2014/QH13.</w:t>
      </w:r>
    </w:p>
    <w:p w14:paraId="594E698F"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3. Bãi bỏ điểm c khoản 1 Điều 49 của Luật quản lý thuế số 78/2006/QH11 đã được sửa đổi, bổ sung một số điều theo Luật số 21/2012/QH13.</w:t>
      </w:r>
    </w:p>
    <w:p w14:paraId="303483B8"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4. Bãi bỏ các quy định liên quan đến việc xác định thuế đối với cá nhân kinh doanh tại khoản 1 Điều 19, khoản 1 Điều 20 và khoản 1 Điều 21 của Luật thuế thu nhập cá nhân số 04/2007/QH12 đã được sửa đổi, bổ sung một số điều theo Luật số 26/2012/QH13.</w:t>
      </w:r>
    </w:p>
    <w:p w14:paraId="69ADEB7B" w14:textId="77777777" w:rsidR="00A731D1" w:rsidRPr="00A731D1" w:rsidRDefault="00A731D1" w:rsidP="00A731D1">
      <w:pPr>
        <w:shd w:val="clear" w:color="auto" w:fill="FFFFFF"/>
        <w:spacing w:before="120" w:after="0" w:line="234" w:lineRule="atLeast"/>
        <w:ind w:right="43"/>
        <w:rPr>
          <w:rFonts w:ascii="Arial" w:eastAsia="Times New Roman" w:hAnsi="Arial" w:cs="Arial"/>
          <w:color w:val="000000"/>
          <w:sz w:val="18"/>
          <w:szCs w:val="18"/>
          <w:lang w:val="en-US" w:eastAsia="en-US"/>
        </w:rPr>
      </w:pPr>
      <w:r w:rsidRPr="00A731D1">
        <w:rPr>
          <w:rFonts w:ascii="Arial" w:eastAsia="Times New Roman" w:hAnsi="Arial" w:cs="Arial"/>
          <w:i/>
          <w:iCs/>
          <w:color w:val="000000"/>
          <w:sz w:val="18"/>
          <w:szCs w:val="18"/>
          <w:lang w:val="en-US" w:eastAsia="en-US"/>
        </w:rPr>
        <w:t>5. Chính phủ, cơ quan có thẩm quyền quy định chi tiết các điều, khoản được giao trong Luật.”</w:t>
      </w:r>
    </w:p>
    <w:bookmarkEnd w:id="0"/>
    <w:p w14:paraId="7346E2ED" w14:textId="77777777" w:rsidR="00CC6698" w:rsidRPr="00A731D1" w:rsidRDefault="00CC6698" w:rsidP="00A731D1"/>
    <w:sectPr w:rsidR="00CC6698" w:rsidRPr="00A731D1">
      <w:headerReference w:type="even" r:id="rId41"/>
      <w:headerReference w:type="default" r:id="rId42"/>
      <w:footerReference w:type="default" r:id="rId43"/>
      <w:headerReference w:type="first" r:id="rId44"/>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1AD5" w14:textId="77777777" w:rsidR="00E26F63" w:rsidRDefault="00E26F63">
      <w:pPr>
        <w:spacing w:after="0" w:line="240" w:lineRule="auto"/>
      </w:pPr>
      <w:r>
        <w:separator/>
      </w:r>
    </w:p>
  </w:endnote>
  <w:endnote w:type="continuationSeparator" w:id="0">
    <w:p w14:paraId="49D6AD65" w14:textId="77777777" w:rsidR="00E26F63" w:rsidRDefault="00E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3763" w14:textId="77777777" w:rsidR="00E26F63" w:rsidRDefault="00E26F63">
      <w:pPr>
        <w:spacing w:after="0" w:line="240" w:lineRule="auto"/>
      </w:pPr>
      <w:r>
        <w:separator/>
      </w:r>
    </w:p>
  </w:footnote>
  <w:footnote w:type="continuationSeparator" w:id="0">
    <w:p w14:paraId="2BD91452" w14:textId="77777777" w:rsidR="00E26F63" w:rsidRDefault="00E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E26F63">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E26F63">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E65AC"/>
    <w:rsid w:val="00162B00"/>
    <w:rsid w:val="002D15F2"/>
    <w:rsid w:val="003C7C73"/>
    <w:rsid w:val="003F30DA"/>
    <w:rsid w:val="004F0E50"/>
    <w:rsid w:val="005301DB"/>
    <w:rsid w:val="005A7488"/>
    <w:rsid w:val="005B2493"/>
    <w:rsid w:val="00660E12"/>
    <w:rsid w:val="007025FE"/>
    <w:rsid w:val="008319A8"/>
    <w:rsid w:val="00831AD2"/>
    <w:rsid w:val="008562F9"/>
    <w:rsid w:val="00942827"/>
    <w:rsid w:val="00A731D1"/>
    <w:rsid w:val="00AE0273"/>
    <w:rsid w:val="00B67BFE"/>
    <w:rsid w:val="00C357FF"/>
    <w:rsid w:val="00C514EB"/>
    <w:rsid w:val="00C857DE"/>
    <w:rsid w:val="00CC6698"/>
    <w:rsid w:val="00D17A19"/>
    <w:rsid w:val="00DD79C5"/>
    <w:rsid w:val="00E26F63"/>
    <w:rsid w:val="00F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Van-ban-hop-nhat-15-VBHN-VPQH-2014-hop-nhat-Luat-thue-thu-nhap-ca-nhan-264500.aspx" TargetMode="External"/><Relationship Id="rId13" Type="http://schemas.openxmlformats.org/officeDocument/2006/relationships/hyperlink" Target="https://thuvienphapluat.vn/van-ban/Thue-Phi-Le-Phi/Van-ban-hop-nhat-15-VBHN-VPQH-2014-hop-nhat-Luat-thue-thu-nhap-ca-nhan-264500.aspx" TargetMode="External"/><Relationship Id="rId18" Type="http://schemas.openxmlformats.org/officeDocument/2006/relationships/hyperlink" Target="https://thuvienphapluat.vn/van-ban/Thue-Phi-Le-Phi/Van-ban-hop-nhat-15-VBHN-VPQH-2014-hop-nhat-Luat-thue-thu-nhap-ca-nhan-264500.aspx" TargetMode="External"/><Relationship Id="rId26" Type="http://schemas.openxmlformats.org/officeDocument/2006/relationships/hyperlink" Target="https://thuvienphapluat.vn/van-ban/Thue-Phi-Le-Phi/Van-ban-hop-nhat-15-VBHN-VPQH-2014-hop-nhat-Luat-thue-thu-nhap-ca-nhan-264500.aspx" TargetMode="External"/><Relationship Id="rId39" Type="http://schemas.openxmlformats.org/officeDocument/2006/relationships/hyperlink" Target="https://thuvienphapluat.vn/van-ban/Thue-Phi-Le-Phi/Van-ban-hop-nhat-15-VBHN-VPQH-2014-hop-nhat-Luat-thue-thu-nhap-ca-nhan-264500.aspx" TargetMode="External"/><Relationship Id="rId3" Type="http://schemas.openxmlformats.org/officeDocument/2006/relationships/styles" Target="styles.xml"/><Relationship Id="rId21" Type="http://schemas.openxmlformats.org/officeDocument/2006/relationships/hyperlink" Target="https://thuvienphapluat.vn/van-ban/Thue-Phi-Le-Phi/Van-ban-hop-nhat-15-VBHN-VPQH-2014-hop-nhat-Luat-thue-thu-nhap-ca-nhan-264500.aspx" TargetMode="External"/><Relationship Id="rId34" Type="http://schemas.openxmlformats.org/officeDocument/2006/relationships/hyperlink" Target="https://thuvienphapluat.vn/van-ban/Thue-Phi-Le-Phi/Van-ban-hop-nhat-15-VBHN-VPQH-2014-hop-nhat-Luat-thue-thu-nhap-ca-nhan-264500.aspx"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huvienphapluat.vn/van-ban/Thue-Phi-Le-Phi/Van-ban-hop-nhat-15-VBHN-VPQH-2014-hop-nhat-Luat-thue-thu-nhap-ca-nhan-264500.aspx" TargetMode="External"/><Relationship Id="rId17" Type="http://schemas.openxmlformats.org/officeDocument/2006/relationships/hyperlink" Target="https://thuvienphapluat.vn/van-ban/Thue-Phi-Le-Phi/Van-ban-hop-nhat-15-VBHN-VPQH-2014-hop-nhat-Luat-thue-thu-nhap-ca-nhan-264500.aspx" TargetMode="External"/><Relationship Id="rId25" Type="http://schemas.openxmlformats.org/officeDocument/2006/relationships/hyperlink" Target="https://thuvienphapluat.vn/van-ban/Thue-Phi-Le-Phi/Van-ban-hop-nhat-15-VBHN-VPQH-2014-hop-nhat-Luat-thue-thu-nhap-ca-nhan-264500.aspx" TargetMode="External"/><Relationship Id="rId33" Type="http://schemas.openxmlformats.org/officeDocument/2006/relationships/hyperlink" Target="https://thuvienphapluat.vn/van-ban/Thue-Phi-Le-Phi/Van-ban-hop-nhat-15-VBHN-VPQH-2014-hop-nhat-Luat-thue-thu-nhap-ca-nhan-264500.aspx" TargetMode="External"/><Relationship Id="rId38" Type="http://schemas.openxmlformats.org/officeDocument/2006/relationships/hyperlink" Target="https://thuvienphapluat.vn/van-ban/Thue-Phi-Le-Phi/Van-ban-hop-nhat-15-VBHN-VPQH-2014-hop-nhat-Luat-thue-thu-nhap-ca-nhan-264500.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Thue-Phi-Le-Phi/Van-ban-hop-nhat-15-VBHN-VPQH-2014-hop-nhat-Luat-thue-thu-nhap-ca-nhan-264500.aspx" TargetMode="External"/><Relationship Id="rId20" Type="http://schemas.openxmlformats.org/officeDocument/2006/relationships/hyperlink" Target="https://thuvienphapluat.vn/van-ban/Thue-Phi-Le-Phi/Van-ban-hop-nhat-15-VBHN-VPQH-2014-hop-nhat-Luat-thue-thu-nhap-ca-nhan-264500.aspx" TargetMode="External"/><Relationship Id="rId29" Type="http://schemas.openxmlformats.org/officeDocument/2006/relationships/hyperlink" Target="https://thuvienphapluat.vn/van-ban/Thue-Phi-Le-Phi/Van-ban-hop-nhat-15-VBHN-VPQH-2014-hop-nhat-Luat-thue-thu-nhap-ca-nhan-264500.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Van-ban-hop-nhat-15-VBHN-VPQH-2014-hop-nhat-Luat-thue-thu-nhap-ca-nhan-264500.aspx" TargetMode="External"/><Relationship Id="rId24" Type="http://schemas.openxmlformats.org/officeDocument/2006/relationships/hyperlink" Target="https://thuvienphapluat.vn/van-ban/Thue-Phi-Le-Phi/Van-ban-hop-nhat-15-VBHN-VPQH-2014-hop-nhat-Luat-thue-thu-nhap-ca-nhan-264500.aspx" TargetMode="External"/><Relationship Id="rId32" Type="http://schemas.openxmlformats.org/officeDocument/2006/relationships/hyperlink" Target="https://thuvienphapluat.vn/van-ban/Thue-Phi-Le-Phi/Van-ban-hop-nhat-15-VBHN-VPQH-2014-hop-nhat-Luat-thue-thu-nhap-ca-nhan-264500.aspx" TargetMode="External"/><Relationship Id="rId37" Type="http://schemas.openxmlformats.org/officeDocument/2006/relationships/hyperlink" Target="https://thuvienphapluat.vn/van-ban/Thue-Phi-Le-Phi/Van-ban-hop-nhat-15-VBHN-VPQH-2014-hop-nhat-Luat-thue-thu-nhap-ca-nhan-264500.aspx" TargetMode="External"/><Relationship Id="rId40" Type="http://schemas.openxmlformats.org/officeDocument/2006/relationships/hyperlink" Target="https://thuvienphapluat.vn/van-ban/Thue-Phi-Le-Phi/Van-ban-hop-nhat-15-VBHN-VPQH-2014-hop-nhat-Luat-thue-thu-nhap-ca-nhan-264500.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Thue-Phi-Le-Phi/Van-ban-hop-nhat-15-VBHN-VPQH-2014-hop-nhat-Luat-thue-thu-nhap-ca-nhan-264500.aspx" TargetMode="External"/><Relationship Id="rId23" Type="http://schemas.openxmlformats.org/officeDocument/2006/relationships/hyperlink" Target="https://thuvienphapluat.vn/van-ban/Thue-Phi-Le-Phi/Van-ban-hop-nhat-15-VBHN-VPQH-2014-hop-nhat-Luat-thue-thu-nhap-ca-nhan-264500.aspx" TargetMode="External"/><Relationship Id="rId28" Type="http://schemas.openxmlformats.org/officeDocument/2006/relationships/hyperlink" Target="https://thuvienphapluat.vn/van-ban/Thue-Phi-Le-Phi/Van-ban-hop-nhat-15-VBHN-VPQH-2014-hop-nhat-Luat-thue-thu-nhap-ca-nhan-264500.aspx" TargetMode="External"/><Relationship Id="rId36" Type="http://schemas.openxmlformats.org/officeDocument/2006/relationships/hyperlink" Target="https://thuvienphapluat.vn/van-ban/Thue-Phi-Le-Phi/Van-ban-hop-nhat-15-VBHN-VPQH-2014-hop-nhat-Luat-thue-thu-nhap-ca-nhan-264500.aspx" TargetMode="External"/><Relationship Id="rId10" Type="http://schemas.openxmlformats.org/officeDocument/2006/relationships/hyperlink" Target="https://thuvienphapluat.vn/van-ban/Thue-Phi-Le-Phi/Van-ban-hop-nhat-15-VBHN-VPQH-2014-hop-nhat-Luat-thue-thu-nhap-ca-nhan-264500.aspx" TargetMode="External"/><Relationship Id="rId19" Type="http://schemas.openxmlformats.org/officeDocument/2006/relationships/hyperlink" Target="https://thuvienphapluat.vn/van-ban/Thue-Phi-Le-Phi/Van-ban-hop-nhat-15-VBHN-VPQH-2014-hop-nhat-Luat-thue-thu-nhap-ca-nhan-264500.aspx" TargetMode="External"/><Relationship Id="rId31" Type="http://schemas.openxmlformats.org/officeDocument/2006/relationships/hyperlink" Target="https://thuvienphapluat.vn/van-ban/Thue-Phi-Le-Phi/Van-ban-hop-nhat-15-VBHN-VPQH-2014-hop-nhat-Luat-thue-thu-nhap-ca-nhan-264500.asp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uvienphapluat.vn/van-ban/Thue-Phi-Le-Phi/Van-ban-hop-nhat-15-VBHN-VPQH-2014-hop-nhat-Luat-thue-thu-nhap-ca-nhan-264500.aspx" TargetMode="External"/><Relationship Id="rId14" Type="http://schemas.openxmlformats.org/officeDocument/2006/relationships/hyperlink" Target="https://thuvienphapluat.vn/van-ban/Thue-Phi-Le-Phi/Van-ban-hop-nhat-15-VBHN-VPQH-2014-hop-nhat-Luat-thue-thu-nhap-ca-nhan-264500.aspx" TargetMode="External"/><Relationship Id="rId22" Type="http://schemas.openxmlformats.org/officeDocument/2006/relationships/hyperlink" Target="https://thuvienphapluat.vn/van-ban/Thue-Phi-Le-Phi/Van-ban-hop-nhat-15-VBHN-VPQH-2014-hop-nhat-Luat-thue-thu-nhap-ca-nhan-264500.aspx" TargetMode="External"/><Relationship Id="rId27" Type="http://schemas.openxmlformats.org/officeDocument/2006/relationships/hyperlink" Target="https://thuvienphapluat.vn/van-ban/Thue-Phi-Le-Phi/Van-ban-hop-nhat-15-VBHN-VPQH-2014-hop-nhat-Luat-thue-thu-nhap-ca-nhan-264500.aspx" TargetMode="External"/><Relationship Id="rId30" Type="http://schemas.openxmlformats.org/officeDocument/2006/relationships/hyperlink" Target="https://thuvienphapluat.vn/van-ban/Thue-Phi-Le-Phi/Van-ban-hop-nhat-15-VBHN-VPQH-2014-hop-nhat-Luat-thue-thu-nhap-ca-nhan-264500.aspx" TargetMode="External"/><Relationship Id="rId35" Type="http://schemas.openxmlformats.org/officeDocument/2006/relationships/hyperlink" Target="https://thuvienphapluat.vn/van-ban/Thue-Phi-Le-Phi/Van-ban-hop-nhat-15-VBHN-VPQH-2014-hop-nhat-Luat-thue-thu-nhap-ca-nhan-264500.asp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8F8206-9845-4F6C-A2B0-110E105C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5650</Words>
  <Characters>32211</Characters>
  <Application>Microsoft Office Word</Application>
  <DocSecurity>0</DocSecurity>
  <Lines>268</Lines>
  <Paragraphs>75</Paragraphs>
  <ScaleCrop>false</ScaleCrop>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30</cp:revision>
  <dcterms:created xsi:type="dcterms:W3CDTF">2022-03-14T13:38:00Z</dcterms:created>
  <dcterms:modified xsi:type="dcterms:W3CDTF">2022-03-22T17:34:00Z</dcterms:modified>
</cp:coreProperties>
</file>