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799"/>
      </w:tblGrid>
      <w:tr w:rsidR="00CB4C10" w14:paraId="15C83E6E" w14:textId="77777777" w:rsidTr="00CB4C10">
        <w:tc>
          <w:tcPr>
            <w:tcW w:w="3150" w:type="dxa"/>
            <w:hideMark/>
          </w:tcPr>
          <w:p w14:paraId="52FB76EB" w14:textId="77777777" w:rsidR="00CB4C10" w:rsidRDefault="00CB4C10">
            <w:pPr>
              <w:pStyle w:val="ThnVnban"/>
              <w:shd w:val="clear" w:color="auto" w:fill="auto"/>
              <w:tabs>
                <w:tab w:val="left" w:pos="3656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TÀI CHÍNH</w:t>
            </w:r>
          </w:p>
          <w:p w14:paraId="140E0372" w14:textId="77777777" w:rsidR="00CB4C10" w:rsidRDefault="00CB4C10">
            <w:pPr>
              <w:pStyle w:val="ThnVnban"/>
              <w:shd w:val="clear" w:color="auto" w:fill="auto"/>
              <w:tabs>
                <w:tab w:val="left" w:pos="3656"/>
              </w:tabs>
              <w:spacing w:after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__________</w:t>
            </w:r>
          </w:p>
          <w:p w14:paraId="78A6D95E" w14:textId="77777777" w:rsidR="00CB4C10" w:rsidRDefault="00CB4C10">
            <w:pPr>
              <w:pStyle w:val="ThnVnban"/>
              <w:shd w:val="clear" w:color="auto" w:fill="auto"/>
              <w:tabs>
                <w:tab w:val="left" w:pos="3656"/>
              </w:tabs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60/2020/TT-BTC</w:t>
            </w:r>
          </w:p>
        </w:tc>
        <w:tc>
          <w:tcPr>
            <w:tcW w:w="5850" w:type="dxa"/>
            <w:hideMark/>
          </w:tcPr>
          <w:p w14:paraId="33EDEAC1" w14:textId="77777777" w:rsidR="00CB4C10" w:rsidRDefault="00CB4C10">
            <w:pPr>
              <w:pStyle w:val="ThnVnban"/>
              <w:shd w:val="clear" w:color="auto" w:fill="auto"/>
              <w:tabs>
                <w:tab w:val="left" w:pos="3656"/>
              </w:tabs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14:paraId="4953AE7A" w14:textId="77777777" w:rsidR="00CB4C10" w:rsidRDefault="00CB4C10">
            <w:pPr>
              <w:pStyle w:val="ThnVnban"/>
              <w:shd w:val="clear" w:color="auto" w:fill="auto"/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</w:p>
          <w:p w14:paraId="2A595949" w14:textId="77777777" w:rsidR="00CB4C10" w:rsidRPr="00CB4C10" w:rsidRDefault="00CB4C10">
            <w:pPr>
              <w:pStyle w:val="ThnVnban"/>
              <w:shd w:val="clear" w:color="auto" w:fill="auto"/>
              <w:spacing w:after="0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4C10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  <w:p w14:paraId="40C30CA0" w14:textId="77777777" w:rsidR="00CB4C10" w:rsidRDefault="00CB4C10">
            <w:pPr>
              <w:pStyle w:val="ThnVnban"/>
              <w:shd w:val="clear" w:color="auto" w:fill="auto"/>
              <w:tabs>
                <w:tab w:val="left" w:pos="4046"/>
              </w:tabs>
              <w:spacing w:after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Hà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năm 2020</w:t>
            </w:r>
          </w:p>
        </w:tc>
      </w:tr>
    </w:tbl>
    <w:p w14:paraId="3E0FAF71" w14:textId="77777777" w:rsidR="00CB4C10" w:rsidRDefault="00CB4C10" w:rsidP="00CB4C10">
      <w:pPr>
        <w:pStyle w:val="ThnVnban"/>
        <w:shd w:val="clear" w:color="auto" w:fill="auto"/>
        <w:tabs>
          <w:tab w:val="left" w:pos="3656"/>
        </w:tabs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CA65B4" w14:textId="77777777" w:rsidR="00CB4C10" w:rsidRDefault="00CB4C10" w:rsidP="00CB4C10">
      <w:pPr>
        <w:pStyle w:val="ThnVnban"/>
        <w:shd w:val="clear" w:color="auto" w:fill="auto"/>
        <w:tabs>
          <w:tab w:val="left" w:pos="3656"/>
        </w:tabs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1AC9A8F" w14:textId="77777777" w:rsidR="00CB4C10" w:rsidRPr="00CB4C10" w:rsidRDefault="00CB4C10" w:rsidP="00CB4C10">
      <w:pPr>
        <w:pStyle w:val="ThnVnban"/>
        <w:shd w:val="clear" w:color="auto" w:fill="auto"/>
        <w:tabs>
          <w:tab w:val="left" w:pos="4046"/>
        </w:tabs>
        <w:spacing w:after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THÔNG T</w:t>
      </w:r>
      <w:r w:rsidRPr="00CB4C10">
        <w:rPr>
          <w:rFonts w:ascii="Arial" w:hAnsi="Arial" w:cs="Arial"/>
          <w:b/>
          <w:bCs/>
          <w:sz w:val="20"/>
          <w:szCs w:val="20"/>
        </w:rPr>
        <w:t>Ư</w:t>
      </w:r>
    </w:p>
    <w:p w14:paraId="15B236A5" w14:textId="77777777" w:rsidR="00CB4C10" w:rsidRDefault="00CB4C10" w:rsidP="00CB4C10">
      <w:pPr>
        <w:pStyle w:val="ThnVnban"/>
        <w:shd w:val="clear" w:color="auto" w:fill="auto"/>
        <w:spacing w:after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bãi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một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bản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phạm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luật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trưởng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CB4C1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lĩnh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vực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</w:p>
    <w:p w14:paraId="70E7117C" w14:textId="77777777" w:rsidR="00CB4C10" w:rsidRPr="00CB4C10" w:rsidRDefault="00CB4C10" w:rsidP="00CB4C10">
      <w:pPr>
        <w:pStyle w:val="ThnVnban"/>
        <w:shd w:val="clear" w:color="auto" w:fill="auto"/>
        <w:spacing w:after="0"/>
        <w:ind w:firstLine="0"/>
        <w:jc w:val="center"/>
        <w:rPr>
          <w:rFonts w:ascii="Arial" w:hAnsi="Arial" w:cs="Arial"/>
          <w:bCs/>
          <w:sz w:val="20"/>
          <w:szCs w:val="20"/>
        </w:rPr>
      </w:pPr>
      <w:r w:rsidRPr="00CB4C10">
        <w:rPr>
          <w:rFonts w:ascii="Arial" w:hAnsi="Arial" w:cs="Arial"/>
          <w:bCs/>
          <w:sz w:val="20"/>
          <w:szCs w:val="20"/>
        </w:rPr>
        <w:t>_____________________</w:t>
      </w:r>
    </w:p>
    <w:p w14:paraId="6B96AF11" w14:textId="77777777" w:rsidR="00CB4C10" w:rsidRDefault="00CB4C10" w:rsidP="00CB4C10">
      <w:pPr>
        <w:pStyle w:val="ThnVnban"/>
        <w:shd w:val="clear" w:color="auto" w:fill="auto"/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0EC7041C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bản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phạm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22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6 năm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năm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2015;</w:t>
      </w:r>
    </w:p>
    <w:p w14:paraId="03F54D10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B4C10"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số </w:t>
      </w:r>
      <w:r>
        <w:rPr>
          <w:rFonts w:ascii="Arial" w:hAnsi="Arial" w:cs="Arial"/>
          <w:i/>
          <w:iCs/>
          <w:sz w:val="20"/>
          <w:szCs w:val="20"/>
        </w:rPr>
        <w:t xml:space="preserve">34/2016/NĐ-CP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14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5 năm 2016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đinh chi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điều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biện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bản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phạm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;</w:t>
      </w:r>
    </w:p>
    <w:p w14:paraId="749A1CB3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87/2017/NĐ-CP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26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7 năm 2017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năng,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nhiệm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quyền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hạn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cấu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;</w:t>
      </w:r>
    </w:p>
    <w:p w14:paraId="574C0094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đề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Cục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nghiệp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</w:t>
      </w:r>
    </w:p>
    <w:p w14:paraId="19BF09DB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bãi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bỏ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bản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phạm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pháp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lĩnh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vực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tài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nghiệp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như sau:</w:t>
      </w:r>
    </w:p>
    <w:p w14:paraId="50E9D31A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Bãi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toàn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bản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phạm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luật</w:t>
      </w:r>
      <w:proofErr w:type="spellEnd"/>
    </w:p>
    <w:p w14:paraId="35545D4B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lĩnh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 sau đây:</w:t>
      </w:r>
    </w:p>
    <w:p w14:paraId="008BDFB7" w14:textId="77777777" w:rsidR="00CB4C10" w:rsidRDefault="00CB4C10" w:rsidP="00CB4C10">
      <w:pPr>
        <w:pStyle w:val="ThnVnban"/>
        <w:shd w:val="clear" w:color="auto" w:fill="auto"/>
        <w:tabs>
          <w:tab w:val="left" w:pos="110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206/2012/TT-BTC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26/11/2012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đoàn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 Than </w:t>
      </w:r>
      <w:proofErr w:type="spellStart"/>
      <w:r>
        <w:rPr>
          <w:rFonts w:ascii="Arial" w:hAnsi="Arial" w:cs="Arial"/>
          <w:sz w:val="20"/>
          <w:szCs w:val="20"/>
        </w:rPr>
        <w:t>khoáng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Việt</w:t>
      </w:r>
      <w:proofErr w:type="spellEnd"/>
      <w:r>
        <w:rPr>
          <w:rFonts w:ascii="Arial" w:hAnsi="Arial" w:cs="Arial"/>
          <w:sz w:val="20"/>
          <w:szCs w:val="20"/>
        </w:rPr>
        <w:t xml:space="preserve"> Nam.</w:t>
      </w:r>
    </w:p>
    <w:p w14:paraId="11121E50" w14:textId="77777777" w:rsidR="00CB4C10" w:rsidRDefault="00CB4C10" w:rsidP="00CB4C10">
      <w:pPr>
        <w:pStyle w:val="ThnVnban"/>
        <w:shd w:val="clear" w:color="auto" w:fill="auto"/>
        <w:tabs>
          <w:tab w:val="left" w:pos="110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21/2014/TT-BTC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14/2/2014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diện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ủy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vốn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F21AAB1" w14:textId="77777777" w:rsidR="00CB4C10" w:rsidRDefault="00CB4C10" w:rsidP="00CB4C10">
      <w:pPr>
        <w:pStyle w:val="ThnVnban"/>
        <w:shd w:val="clear" w:color="auto" w:fill="auto"/>
        <w:tabs>
          <w:tab w:val="left" w:pos="1107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198/2011/TT-BTC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30/12/2011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thu,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nộp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hoa tiêu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hoa tiêu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hải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9E4684" w14:textId="77777777" w:rsidR="00CB4C10" w:rsidRDefault="00CB4C10" w:rsidP="00CB4C10">
      <w:pPr>
        <w:pStyle w:val="ThnVnban"/>
        <w:shd w:val="clear" w:color="auto" w:fill="auto"/>
        <w:tabs>
          <w:tab w:val="left" w:pos="110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>4. T</w:t>
      </w:r>
      <w:r>
        <w:rPr>
          <w:rFonts w:ascii="Arial" w:hAnsi="Arial" w:cs="Arial"/>
          <w:sz w:val="20"/>
          <w:szCs w:val="20"/>
        </w:rPr>
        <w:t xml:space="preserve">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131/2010/TT-BTC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06/9/2010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góp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vốn</w:t>
      </w:r>
      <w:proofErr w:type="spellEnd"/>
      <w:r>
        <w:rPr>
          <w:rFonts w:ascii="Arial" w:hAnsi="Arial" w:cs="Arial"/>
          <w:sz w:val="20"/>
          <w:szCs w:val="20"/>
        </w:rPr>
        <w:t xml:space="preserve">, mua </w:t>
      </w:r>
      <w:proofErr w:type="spellStart"/>
      <w:r>
        <w:rPr>
          <w:rFonts w:ascii="Arial" w:hAnsi="Arial" w:cs="Arial"/>
          <w:sz w:val="20"/>
          <w:szCs w:val="20"/>
        </w:rPr>
        <w:t>cổ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Việt</w:t>
      </w:r>
      <w:proofErr w:type="spellEnd"/>
      <w:r>
        <w:rPr>
          <w:rFonts w:ascii="Arial" w:hAnsi="Arial" w:cs="Arial"/>
          <w:sz w:val="20"/>
          <w:szCs w:val="20"/>
        </w:rPr>
        <w:t xml:space="preserve"> Nam.</w:t>
      </w:r>
    </w:p>
    <w:p w14:paraId="58042213" w14:textId="77777777" w:rsidR="00CB4C10" w:rsidRDefault="00CB4C10" w:rsidP="00CB4C10">
      <w:pPr>
        <w:pStyle w:val="ThnVnban"/>
        <w:shd w:val="clear" w:color="auto" w:fill="auto"/>
        <w:tabs>
          <w:tab w:val="left" w:pos="111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B4C10">
        <w:rPr>
          <w:rFonts w:ascii="Arial" w:hAnsi="Arial" w:cs="Arial"/>
          <w:sz w:val="20"/>
          <w:szCs w:val="20"/>
          <w:lang w:eastAsia="en-US" w:bidi="en-US"/>
        </w:rPr>
        <w:t xml:space="preserve">92/2007/TT-BTC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31/7/2007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B4C10"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đất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chuyển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nguồn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gốc</w:t>
      </w:r>
      <w:proofErr w:type="spellEnd"/>
      <w:r>
        <w:rPr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Fonts w:ascii="Arial" w:hAnsi="Arial" w:cs="Arial"/>
          <w:sz w:val="20"/>
          <w:szCs w:val="20"/>
        </w:rPr>
        <w:t>sách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19C10DD" w14:textId="77777777" w:rsidR="00CB4C10" w:rsidRDefault="00CB4C10" w:rsidP="00CB4C10">
      <w:pPr>
        <w:pStyle w:val="ThnVnban"/>
        <w:shd w:val="clear" w:color="auto" w:fill="auto"/>
        <w:tabs>
          <w:tab w:val="left" w:pos="110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B4C10">
        <w:rPr>
          <w:rFonts w:ascii="Arial" w:hAnsi="Arial" w:cs="Arial"/>
          <w:sz w:val="20"/>
          <w:szCs w:val="20"/>
          <w:lang w:eastAsia="en-US" w:bidi="en-US"/>
        </w:rPr>
        <w:t xml:space="preserve">41/2013/TT-BTC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11/4/2013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67/2012/NĐ-CP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10/9/2012 </w:t>
      </w:r>
      <w:proofErr w:type="spellStart"/>
      <w:r>
        <w:rPr>
          <w:rFonts w:ascii="Arial" w:hAnsi="Arial" w:cs="Arial"/>
          <w:sz w:val="20"/>
          <w:szCs w:val="20"/>
        </w:rPr>
        <w:t>sửa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đổi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bổ</w:t>
      </w:r>
      <w:proofErr w:type="spellEnd"/>
      <w:r>
        <w:rPr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143/2003/NĐ-CP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28/11/2003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phủ</w:t>
      </w:r>
      <w:proofErr w:type="spellEnd"/>
      <w:r>
        <w:rPr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tiết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lệnh</w:t>
      </w:r>
      <w:proofErr w:type="spellEnd"/>
      <w:r>
        <w:rPr>
          <w:rFonts w:ascii="Arial" w:hAnsi="Arial" w:cs="Arial"/>
          <w:sz w:val="20"/>
          <w:szCs w:val="20"/>
        </w:rPr>
        <w:t xml:space="preserve"> khai </w:t>
      </w:r>
      <w:proofErr w:type="spellStart"/>
      <w:r>
        <w:rPr>
          <w:rFonts w:ascii="Arial" w:hAnsi="Arial" w:cs="Arial"/>
          <w:sz w:val="20"/>
          <w:szCs w:val="20"/>
        </w:rPr>
        <w:t>thác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thủy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lợi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3FBF95" w14:textId="77777777" w:rsidR="00CB4C10" w:rsidRDefault="00CB4C10" w:rsidP="00CB4C10">
      <w:pPr>
        <w:pStyle w:val="ThnVnban"/>
        <w:shd w:val="clear" w:color="auto" w:fill="auto"/>
        <w:tabs>
          <w:tab w:val="left" w:pos="1107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178/2014/TT-BTC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26/11/2014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thầu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, giao </w:t>
      </w:r>
      <w:proofErr w:type="spellStart"/>
      <w:r>
        <w:rPr>
          <w:rFonts w:ascii="Arial" w:hAnsi="Arial" w:cs="Arial"/>
          <w:sz w:val="20"/>
          <w:szCs w:val="20"/>
        </w:rPr>
        <w:t>kế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khai </w:t>
      </w:r>
      <w:proofErr w:type="spellStart"/>
      <w:r>
        <w:rPr>
          <w:rFonts w:ascii="Arial" w:hAnsi="Arial" w:cs="Arial"/>
          <w:sz w:val="20"/>
          <w:szCs w:val="20"/>
        </w:rPr>
        <w:t>thác</w:t>
      </w:r>
      <w:proofErr w:type="spellEnd"/>
      <w:r>
        <w:rPr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thủy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lợi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7A5940A" w14:textId="77777777" w:rsidR="00CB4C10" w:rsidRDefault="00CB4C10" w:rsidP="00CB4C10">
      <w:pPr>
        <w:pStyle w:val="ThnVnban"/>
        <w:shd w:val="clear" w:color="auto" w:fill="auto"/>
        <w:tabs>
          <w:tab w:val="left" w:pos="1107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Quyết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104/2008/QĐ-BTC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13/11/2008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đổi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bổ</w:t>
      </w:r>
      <w:proofErr w:type="spellEnd"/>
      <w:r>
        <w:rPr>
          <w:rFonts w:ascii="Arial" w:hAnsi="Arial" w:cs="Arial"/>
          <w:sz w:val="20"/>
          <w:szCs w:val="20"/>
        </w:rPr>
        <w:t xml:space="preserve"> sung Quy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hỗ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sắp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xếp</w:t>
      </w:r>
      <w:proofErr w:type="spellEnd"/>
      <w:r>
        <w:rPr>
          <w:rFonts w:ascii="Arial" w:hAnsi="Arial" w:cs="Arial"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đoàn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công ty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, công ty </w:t>
      </w:r>
      <w:proofErr w:type="spellStart"/>
      <w:r>
        <w:rPr>
          <w:rFonts w:ascii="Arial" w:hAnsi="Arial" w:cs="Arial"/>
          <w:sz w:val="20"/>
          <w:szCs w:val="20"/>
        </w:rPr>
        <w:t>mẹ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Quyết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09/2008/QĐ-BTC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31/01/2008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2D2676" w14:textId="77777777" w:rsidR="00CB4C10" w:rsidRDefault="00CB4C10" w:rsidP="00CB4C10">
      <w:pPr>
        <w:pStyle w:val="ThnVnban"/>
        <w:shd w:val="clear" w:color="auto" w:fill="auto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Tổ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thực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hiện</w:t>
      </w:r>
      <w:proofErr w:type="spellEnd"/>
    </w:p>
    <w:p w14:paraId="1D296D1D" w14:textId="77777777" w:rsidR="00CB4C10" w:rsidRDefault="00CB4C10" w:rsidP="00CB4C10">
      <w:pPr>
        <w:pStyle w:val="ThnVnban"/>
        <w:shd w:val="clear" w:color="auto" w:fill="auto"/>
        <w:tabs>
          <w:tab w:val="left" w:pos="1104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03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>
        <w:rPr>
          <w:rFonts w:ascii="Arial" w:hAnsi="Arial" w:cs="Arial"/>
          <w:sz w:val="20"/>
          <w:szCs w:val="20"/>
        </w:rPr>
        <w:t xml:space="preserve"> 08 năm 2020.</w:t>
      </w:r>
    </w:p>
    <w:p w14:paraId="594BA8C2" w14:textId="77777777" w:rsidR="00CB4C10" w:rsidRDefault="00CB4C10" w:rsidP="00CB4C10">
      <w:pPr>
        <w:pStyle w:val="ThnVnban"/>
        <w:shd w:val="clear" w:color="auto" w:fill="auto"/>
        <w:tabs>
          <w:tab w:val="left" w:pos="1096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CB4C10"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doanh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liên quan </w:t>
      </w:r>
      <w:proofErr w:type="spellStart"/>
      <w:r>
        <w:rPr>
          <w:rFonts w:ascii="Arial" w:hAnsi="Arial" w:cs="Arial"/>
          <w:sz w:val="20"/>
          <w:szCs w:val="20"/>
        </w:rPr>
        <w:t>chịu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4695EF4C" w14:textId="77777777" w:rsidR="00CB4C10" w:rsidRDefault="00CB4C10" w:rsidP="00CB4C10">
      <w:pPr>
        <w:pStyle w:val="ThnVnban"/>
        <w:shd w:val="clear" w:color="auto" w:fill="auto"/>
        <w:tabs>
          <w:tab w:val="left" w:pos="1096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3"/>
        <w:gridCol w:w="4015"/>
      </w:tblGrid>
      <w:tr w:rsidR="00CB4C10" w14:paraId="39E9C49B" w14:textId="77777777" w:rsidTr="00CB4C10">
        <w:tc>
          <w:tcPr>
            <w:tcW w:w="4950" w:type="dxa"/>
            <w:hideMark/>
          </w:tcPr>
          <w:p w14:paraId="010A01C4" w14:textId="77777777" w:rsidR="00CB4C10" w:rsidRDefault="00CB4C10">
            <w:pPr>
              <w:pStyle w:val="Bodytext2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Nơi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77F276CB" w14:textId="77777777" w:rsidR="00CB4C10" w:rsidRDefault="00CB4C10">
            <w:pPr>
              <w:pStyle w:val="Bodytext20"/>
              <w:shd w:val="clear" w:color="auto" w:fill="auto"/>
              <w:tabs>
                <w:tab w:val="left" w:pos="254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C44B99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cơ quan ngang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cơ quan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CP;</w:t>
            </w:r>
          </w:p>
          <w:p w14:paraId="249509B8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HĐND, UBND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tỉnh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TW;</w:t>
            </w:r>
          </w:p>
          <w:p w14:paraId="04A2A938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F4286DB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63C84A1" w14:textId="77777777" w:rsidR="00CB4C10" w:rsidRDefault="00CB4C10">
            <w:pPr>
              <w:pStyle w:val="Bodytext2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B9051B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05B6DF" w14:textId="77777777" w:rsidR="00CB4C10" w:rsidRDefault="00CB4C10">
            <w:pPr>
              <w:pStyle w:val="Bodytext20"/>
              <w:shd w:val="clear" w:color="auto" w:fill="auto"/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thư;</w:t>
            </w:r>
          </w:p>
          <w:p w14:paraId="61456F96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VP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D6C0E2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nhân dân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cao;</w:t>
            </w:r>
          </w:p>
          <w:p w14:paraId="2CB26D74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nhân dân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cao;</w:t>
            </w:r>
          </w:p>
          <w:p w14:paraId="541DBC54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CEBD68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Cơ quan TW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44FEEB" w14:textId="77777777" w:rsidR="00CB4C10" w:rsidRDefault="00CB4C10">
            <w:pPr>
              <w:pStyle w:val="Bodytext20"/>
              <w:shd w:val="clear" w:color="auto" w:fill="auto"/>
              <w:tabs>
                <w:tab w:val="left" w:pos="258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tỉnh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TW;</w:t>
            </w:r>
          </w:p>
          <w:p w14:paraId="5AF469CB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D8B644A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 văn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17935908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CB3BFC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- Website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C8EF3D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đơn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8ED5F3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  <w:lang w:bidi="en-US"/>
              </w:rPr>
              <w:t xml:space="preserve">- Website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B27622" w14:textId="77777777" w:rsidR="00CB4C10" w:rsidRDefault="00CB4C10">
            <w:pPr>
              <w:pStyle w:val="Bodytext20"/>
              <w:shd w:val="clear" w:color="auto" w:fill="auto"/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Lưu: VT,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TCDN.</w:t>
            </w:r>
          </w:p>
        </w:tc>
        <w:tc>
          <w:tcPr>
            <w:tcW w:w="4050" w:type="dxa"/>
          </w:tcPr>
          <w:p w14:paraId="376AF2A9" w14:textId="77777777" w:rsid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KT. B</w:t>
            </w:r>
            <w:r w:rsidRPr="00CB4C10">
              <w:rPr>
                <w:rFonts w:ascii="Arial" w:hAnsi="Arial" w:cs="Arial"/>
                <w:sz w:val="20"/>
                <w:szCs w:val="20"/>
              </w:rPr>
              <w:t>Ộ</w:t>
            </w:r>
            <w:r>
              <w:rPr>
                <w:rFonts w:ascii="Arial" w:hAnsi="Arial" w:cs="Arial"/>
                <w:sz w:val="20"/>
                <w:szCs w:val="20"/>
              </w:rPr>
              <w:t xml:space="preserve"> TRƯỞNG</w:t>
            </w:r>
          </w:p>
          <w:p w14:paraId="1CEBFE0F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>THỨ TRƯỞNG</w:t>
            </w:r>
          </w:p>
          <w:p w14:paraId="247E55ED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31BB9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B4BA4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1BEB3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DB711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4B914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D0D0E" w14:textId="77777777" w:rsidR="00CB4C10" w:rsidRPr="00CB4C10" w:rsidRDefault="00CB4C10">
            <w:pPr>
              <w:pStyle w:val="Picturecaption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C10">
              <w:rPr>
                <w:rFonts w:ascii="Arial" w:hAnsi="Arial" w:cs="Arial"/>
                <w:sz w:val="20"/>
                <w:szCs w:val="20"/>
              </w:rPr>
              <w:t>Huỳnh Quang Hải</w:t>
            </w:r>
          </w:p>
          <w:p w14:paraId="335AB54B" w14:textId="77777777" w:rsidR="00CB4C10" w:rsidRDefault="00CB4C10">
            <w:pPr>
              <w:pStyle w:val="ThnVnban"/>
              <w:shd w:val="clear" w:color="auto" w:fill="auto"/>
              <w:tabs>
                <w:tab w:val="left" w:pos="1096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8374A" w14:textId="77777777" w:rsidR="00CB4C10" w:rsidRDefault="00CB4C10" w:rsidP="00CB4C10">
      <w:pPr>
        <w:pStyle w:val="ThnVnban"/>
        <w:shd w:val="clear" w:color="auto" w:fill="auto"/>
        <w:tabs>
          <w:tab w:val="left" w:pos="1096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19DDE894" w14:textId="77777777" w:rsidR="00CB4C10" w:rsidRDefault="00CB4C10" w:rsidP="00CB4C10">
      <w:pPr>
        <w:pStyle w:val="Heading10"/>
        <w:keepNext/>
        <w:keepLines/>
        <w:shd w:val="clear" w:color="auto" w:fill="auto"/>
        <w:spacing w:after="12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14:paraId="01C3A8BA" w14:textId="77777777" w:rsidR="002B0909" w:rsidRDefault="002B0909"/>
    <w:sectPr w:rsidR="002B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10"/>
    <w:rsid w:val="002B0909"/>
    <w:rsid w:val="00C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796FE"/>
  <w15:chartTrackingRefBased/>
  <w15:docId w15:val="{5BB28899-A5DB-40BB-A7A5-827432F0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link w:val="ThnVnbanChar"/>
    <w:semiHidden/>
    <w:unhideWhenUsed/>
    <w:qFormat/>
    <w:rsid w:val="00CB4C10"/>
    <w:pPr>
      <w:widowControl w:val="0"/>
      <w:shd w:val="clear" w:color="auto" w:fill="FFFFFF"/>
      <w:spacing w:after="6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character" w:customStyle="1" w:styleId="ThnVnbanChar">
    <w:name w:val="Thân Văn bản Char"/>
    <w:basedOn w:val="Phngmcinhcuaoanvn"/>
    <w:link w:val="ThnVnban"/>
    <w:semiHidden/>
    <w:rsid w:val="00CB4C10"/>
    <w:rPr>
      <w:rFonts w:ascii="Times New Roman" w:eastAsia="Times New Roman" w:hAnsi="Times New Roman" w:cs="Times New Roman"/>
      <w:sz w:val="28"/>
      <w:szCs w:val="28"/>
      <w:shd w:val="clear" w:color="auto" w:fill="FFFFFF"/>
      <w:lang w:eastAsia="vi-VN"/>
    </w:rPr>
  </w:style>
  <w:style w:type="character" w:customStyle="1" w:styleId="Picturecaption">
    <w:name w:val="Picture caption_"/>
    <w:link w:val="Picturecaption0"/>
    <w:locked/>
    <w:rsid w:val="00CB4C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Binhthng"/>
    <w:link w:val="Picturecaption"/>
    <w:rsid w:val="00CB4C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link w:val="Bodytext20"/>
    <w:locked/>
    <w:rsid w:val="00CB4C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CB4C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link w:val="Heading10"/>
    <w:locked/>
    <w:rsid w:val="00CB4C10"/>
    <w:rPr>
      <w:rFonts w:ascii="Times New Roman" w:eastAsia="Times New Roman" w:hAnsi="Times New Roman" w:cs="Times New Roman"/>
      <w:color w:val="5954AD"/>
      <w:sz w:val="44"/>
      <w:szCs w:val="44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CB4C10"/>
    <w:pPr>
      <w:widowControl w:val="0"/>
      <w:shd w:val="clear" w:color="auto" w:fill="FFFFFF"/>
      <w:spacing w:after="40" w:line="180" w:lineRule="auto"/>
      <w:ind w:left="1880"/>
      <w:outlineLvl w:val="0"/>
    </w:pPr>
    <w:rPr>
      <w:rFonts w:ascii="Times New Roman" w:eastAsia="Times New Roman" w:hAnsi="Times New Roman" w:cs="Times New Roman"/>
      <w:color w:val="5954AD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2021-07-29T17:13:00Z</dcterms:created>
  <dcterms:modified xsi:type="dcterms:W3CDTF">2021-07-29T17:14:00Z</dcterms:modified>
</cp:coreProperties>
</file>