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5861"/>
      </w:tblGrid>
      <w:tr w:rsidR="001109A0" w14:paraId="629DB51A" w14:textId="77777777" w:rsidTr="001109A0">
        <w:trPr>
          <w:trHeight w:val="936"/>
          <w:jc w:val="center"/>
        </w:trPr>
        <w:tc>
          <w:tcPr>
            <w:tcW w:w="3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67152" w14:textId="77777777" w:rsidR="001109A0" w:rsidRDefault="001109A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CHÍNH PHỦ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  <w:lang w:eastAsia="en-US"/>
              </w:rPr>
              <w:t>________</w:t>
            </w:r>
          </w:p>
          <w:p w14:paraId="57562A1C" w14:textId="77777777" w:rsidR="001109A0" w:rsidRDefault="001109A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Số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: 139/2020/NĐ-CP</w:t>
            </w:r>
          </w:p>
        </w:tc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A4D6A" w14:textId="77777777" w:rsidR="001109A0" w:rsidRDefault="001109A0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Độc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lập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Tự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 do -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Hạnh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phúc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  <w:lang w:eastAsia="en-US"/>
              </w:rPr>
              <w:t>_______________________</w:t>
            </w:r>
          </w:p>
          <w:p w14:paraId="7D989BCB" w14:textId="77777777" w:rsidR="001109A0" w:rsidRDefault="001109A0">
            <w:pPr>
              <w:widowControl/>
              <w:jc w:val="righ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Hà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Nội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ngày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27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tháng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11 năm 2020</w:t>
            </w:r>
          </w:p>
        </w:tc>
      </w:tr>
    </w:tbl>
    <w:p w14:paraId="5739981C" w14:textId="77777777" w:rsidR="001109A0" w:rsidRDefault="001109A0" w:rsidP="001109A0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lang w:eastAsia="vi-VN"/>
        </w:rPr>
      </w:pPr>
    </w:p>
    <w:p w14:paraId="578D5911" w14:textId="77777777" w:rsidR="001109A0" w:rsidRDefault="001109A0" w:rsidP="001109A0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</w:rPr>
      </w:pPr>
    </w:p>
    <w:p w14:paraId="649EB46B" w14:textId="77777777" w:rsidR="001109A0" w:rsidRDefault="001109A0" w:rsidP="001109A0">
      <w:pPr>
        <w:pStyle w:val="Vnbnnidung0"/>
        <w:spacing w:after="0" w:line="240" w:lineRule="auto"/>
        <w:ind w:firstLine="0"/>
        <w:jc w:val="center"/>
      </w:pPr>
      <w:r>
        <w:rPr>
          <w:rStyle w:val="Vnbnnidung"/>
          <w:rFonts w:ascii="Arial" w:hAnsi="Arial" w:cs="Arial"/>
          <w:b/>
          <w:bCs/>
          <w:sz w:val="20"/>
          <w:szCs w:val="20"/>
        </w:rPr>
        <w:t>NGHỊ ĐỊNH</w:t>
      </w:r>
    </w:p>
    <w:p w14:paraId="377C6582" w14:textId="77777777" w:rsidR="001109A0" w:rsidRDefault="001109A0" w:rsidP="001109A0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một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13/2014/NĐ-CP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25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02 năm 2014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chi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tiết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biện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pháp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thi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dục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an ninh</w:t>
      </w:r>
    </w:p>
    <w:p w14:paraId="3A4EF0A3" w14:textId="77777777" w:rsidR="001109A0" w:rsidRPr="001109A0" w:rsidRDefault="001109A0" w:rsidP="001109A0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bCs/>
          <w:sz w:val="20"/>
          <w:szCs w:val="20"/>
          <w:vertAlign w:val="superscript"/>
        </w:rPr>
      </w:pPr>
      <w:r w:rsidRPr="001109A0">
        <w:rPr>
          <w:rStyle w:val="Vnbnnidung"/>
          <w:rFonts w:ascii="Arial" w:hAnsi="Arial" w:cs="Arial"/>
          <w:bCs/>
          <w:sz w:val="20"/>
          <w:szCs w:val="20"/>
          <w:vertAlign w:val="superscript"/>
        </w:rPr>
        <w:t>__________</w:t>
      </w:r>
    </w:p>
    <w:p w14:paraId="017270D7" w14:textId="77777777" w:rsidR="001109A0" w:rsidRDefault="001109A0" w:rsidP="001109A0">
      <w:pPr>
        <w:pStyle w:val="Vnbnnidung0"/>
        <w:spacing w:after="0" w:line="240" w:lineRule="auto"/>
        <w:ind w:firstLine="0"/>
        <w:jc w:val="center"/>
      </w:pPr>
    </w:p>
    <w:p w14:paraId="1E5F907F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19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6 năm 2015;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một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địa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phương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22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11 năm 2019;</w:t>
      </w:r>
    </w:p>
    <w:p w14:paraId="533707F1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dục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an ninh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19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6 năm 2013;</w:t>
      </w:r>
    </w:p>
    <w:p w14:paraId="0138898D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Theo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đề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>;</w:t>
      </w:r>
    </w:p>
    <w:p w14:paraId="71018BAF" w14:textId="77777777" w:rsidR="001109A0" w:rsidRDefault="001109A0" w:rsidP="001109A0">
      <w:pPr>
        <w:pStyle w:val="Vnbnnidung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ban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một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13/2014/NĐ-CP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25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02 năm 2014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chi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tiết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biện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pháp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thi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dục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an ninh.</w:t>
      </w:r>
    </w:p>
    <w:p w14:paraId="6358B1E2" w14:textId="77777777" w:rsidR="001109A0" w:rsidRDefault="001109A0" w:rsidP="001109A0">
      <w:pPr>
        <w:pStyle w:val="Vnbnnidung0"/>
        <w:spacing w:after="0" w:line="240" w:lineRule="auto"/>
        <w:ind w:firstLine="720"/>
        <w:jc w:val="both"/>
        <w:rPr>
          <w:rStyle w:val="Vnbnnidung"/>
          <w:rFonts w:ascii="Arial" w:hAnsi="Arial" w:cs="Arial"/>
          <w:b/>
          <w:bCs/>
          <w:sz w:val="20"/>
          <w:szCs w:val="20"/>
        </w:rPr>
      </w:pPr>
    </w:p>
    <w:p w14:paraId="5CAD137A" w14:textId="77777777" w:rsidR="001109A0" w:rsidRDefault="001109A0" w:rsidP="001109A0">
      <w:pPr>
        <w:pStyle w:val="Vnbnnidung0"/>
        <w:spacing w:after="120" w:line="240" w:lineRule="auto"/>
        <w:ind w:firstLine="720"/>
        <w:jc w:val="both"/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1.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một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13/2014/NĐ-CP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25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02 năm 2014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chi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tiết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biện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pháp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thi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dục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an ninh như sau:</w:t>
      </w:r>
    </w:p>
    <w:p w14:paraId="76D10A21" w14:textId="77777777" w:rsidR="001109A0" w:rsidRDefault="001109A0" w:rsidP="001109A0">
      <w:pPr>
        <w:pStyle w:val="Vnbnnidung0"/>
        <w:tabs>
          <w:tab w:val="left" w:pos="91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bookmark0"/>
      <w:r>
        <w:rPr>
          <w:rStyle w:val="Vnbnnidung"/>
          <w:rFonts w:ascii="Arial" w:hAnsi="Arial" w:cs="Arial"/>
          <w:sz w:val="20"/>
          <w:szCs w:val="20"/>
        </w:rPr>
        <w:t>1</w:t>
      </w:r>
      <w:bookmarkEnd w:id="0"/>
      <w:r>
        <w:rPr>
          <w:rStyle w:val="Vnbnnidung"/>
          <w:rFonts w:ascii="Arial" w:hAnsi="Arial" w:cs="Arial"/>
          <w:sz w:val="20"/>
          <w:szCs w:val="20"/>
        </w:rPr>
        <w:t>.</w:t>
      </w:r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 như sau:</w:t>
      </w:r>
    </w:p>
    <w:p w14:paraId="4C7E99E2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“a)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tịch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Trung 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triệu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Ban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tướng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giữ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biểu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tướng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2FE263B8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gọi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1;”</w:t>
      </w:r>
    </w:p>
    <w:p w14:paraId="1B1863E9" w14:textId="77777777" w:rsidR="001109A0" w:rsidRDefault="001109A0" w:rsidP="001109A0">
      <w:pPr>
        <w:pStyle w:val="Vnbnnidung0"/>
        <w:tabs>
          <w:tab w:val="left" w:pos="94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bookmark1"/>
      <w:r>
        <w:rPr>
          <w:rStyle w:val="Vnbnnidung"/>
          <w:rFonts w:ascii="Arial" w:hAnsi="Arial" w:cs="Arial"/>
          <w:sz w:val="20"/>
          <w:szCs w:val="20"/>
        </w:rPr>
        <w:t>2</w:t>
      </w:r>
      <w:bookmarkEnd w:id="1"/>
      <w:r>
        <w:rPr>
          <w:rStyle w:val="Vnbnnidung"/>
          <w:rFonts w:ascii="Arial" w:hAnsi="Arial" w:cs="Arial"/>
          <w:sz w:val="20"/>
          <w:szCs w:val="20"/>
        </w:rPr>
        <w:t>.</w:t>
      </w:r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b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 như sau:</w:t>
      </w:r>
    </w:p>
    <w:p w14:paraId="11BDA1DC" w14:textId="77777777" w:rsidR="001109A0" w:rsidRDefault="001109A0" w:rsidP="001109A0">
      <w:pPr>
        <w:pStyle w:val="Vnbnnidung0"/>
        <w:tabs>
          <w:tab w:val="left" w:pos="95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bookmark2"/>
      <w:r>
        <w:rPr>
          <w:rStyle w:val="Vnbnnidung"/>
          <w:rFonts w:ascii="Arial" w:hAnsi="Arial" w:cs="Arial"/>
          <w:sz w:val="20"/>
          <w:szCs w:val="20"/>
          <w:highlight w:val="white"/>
        </w:rPr>
        <w:t>a</w:t>
      </w:r>
      <w:bookmarkEnd w:id="2"/>
      <w:r>
        <w:rPr>
          <w:rStyle w:val="Vnbnnidung"/>
          <w:rFonts w:ascii="Arial" w:hAnsi="Arial" w:cs="Arial"/>
          <w:sz w:val="20"/>
          <w:szCs w:val="20"/>
          <w:highlight w:val="white"/>
        </w:rPr>
        <w:t>)</w:t>
      </w:r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 như sau:</w:t>
      </w:r>
    </w:p>
    <w:p w14:paraId="32F741F3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“a)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tịch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tỉnh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triệu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sắc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tôn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văn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hóa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khoa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học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nghệ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tịch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ban nhân dân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tỉnh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;”</w:t>
      </w:r>
    </w:p>
    <w:p w14:paraId="52A9D6A0" w14:textId="77777777" w:rsidR="001109A0" w:rsidRDefault="001109A0" w:rsidP="001109A0">
      <w:pPr>
        <w:pStyle w:val="Vnbnnidung0"/>
        <w:tabs>
          <w:tab w:val="left" w:pos="95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bookmark3"/>
      <w:r>
        <w:rPr>
          <w:rStyle w:val="Vnbnnidung"/>
          <w:rFonts w:ascii="Arial" w:hAnsi="Arial" w:cs="Arial"/>
          <w:sz w:val="20"/>
          <w:szCs w:val="20"/>
          <w:highlight w:val="white"/>
        </w:rPr>
        <w:t>b</w:t>
      </w:r>
      <w:bookmarkEnd w:id="3"/>
      <w:r>
        <w:rPr>
          <w:rStyle w:val="Vnbnnidung"/>
          <w:rFonts w:ascii="Arial" w:hAnsi="Arial" w:cs="Arial"/>
          <w:sz w:val="20"/>
          <w:szCs w:val="20"/>
          <w:highlight w:val="white"/>
        </w:rPr>
        <w:t>)</w:t>
      </w:r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b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 như sau:</w:t>
      </w:r>
    </w:p>
    <w:p w14:paraId="589B9FAD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“b)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tịch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huyện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triệu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họ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tịch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ban nhân dân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huyện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.”</w:t>
      </w:r>
    </w:p>
    <w:p w14:paraId="65498ABC" w14:textId="77777777" w:rsidR="001109A0" w:rsidRDefault="001109A0" w:rsidP="001109A0">
      <w:pPr>
        <w:pStyle w:val="Vnbnnidung0"/>
        <w:tabs>
          <w:tab w:val="left" w:pos="93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bookmark4"/>
      <w:r>
        <w:rPr>
          <w:rStyle w:val="Vnbnnidung"/>
          <w:rFonts w:ascii="Arial" w:hAnsi="Arial" w:cs="Arial"/>
          <w:sz w:val="20"/>
          <w:szCs w:val="20"/>
          <w:highlight w:val="white"/>
        </w:rPr>
        <w:t>3</w:t>
      </w:r>
      <w:bookmarkEnd w:id="4"/>
      <w:r>
        <w:rPr>
          <w:rStyle w:val="Vnbnnidung"/>
          <w:rFonts w:ascii="Arial" w:hAnsi="Arial" w:cs="Arial"/>
          <w:sz w:val="20"/>
          <w:szCs w:val="20"/>
          <w:highlight w:val="white"/>
        </w:rPr>
        <w:t>.</w:t>
      </w:r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như sau:</w:t>
      </w:r>
    </w:p>
    <w:p w14:paraId="515C34CC" w14:textId="77777777" w:rsidR="001109A0" w:rsidRDefault="001109A0" w:rsidP="001109A0">
      <w:pPr>
        <w:pStyle w:val="Vnbnnidung0"/>
        <w:tabs>
          <w:tab w:val="left" w:pos="949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bookmark5"/>
      <w:r>
        <w:rPr>
          <w:rStyle w:val="Vnbnnidung"/>
          <w:rFonts w:ascii="Arial" w:hAnsi="Arial" w:cs="Arial"/>
          <w:sz w:val="20"/>
          <w:szCs w:val="20"/>
        </w:rPr>
        <w:t>a</w:t>
      </w:r>
      <w:bookmarkEnd w:id="5"/>
      <w:r>
        <w:rPr>
          <w:rStyle w:val="Vnbnnidung"/>
          <w:rFonts w:ascii="Arial" w:hAnsi="Arial" w:cs="Arial"/>
          <w:sz w:val="20"/>
          <w:szCs w:val="20"/>
        </w:rPr>
        <w:t>)</w:t>
      </w:r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như sau:</w:t>
      </w:r>
    </w:p>
    <w:p w14:paraId="59626288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“2.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Học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quan,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trung ương trên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quân khu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 trên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quân khu;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lệnh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đô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;”</w:t>
      </w:r>
    </w:p>
    <w:p w14:paraId="2E6ACEE1" w14:textId="77777777" w:rsidR="001109A0" w:rsidRDefault="001109A0" w:rsidP="001109A0">
      <w:pPr>
        <w:pStyle w:val="Vnbnnidung0"/>
        <w:tabs>
          <w:tab w:val="left" w:pos="94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bookmark6"/>
      <w:r>
        <w:rPr>
          <w:rStyle w:val="Vnbnnidung"/>
          <w:rFonts w:ascii="Arial" w:hAnsi="Arial" w:cs="Arial"/>
          <w:sz w:val="20"/>
          <w:szCs w:val="20"/>
        </w:rPr>
        <w:t>b</w:t>
      </w:r>
      <w:bookmarkEnd w:id="6"/>
      <w:r>
        <w:rPr>
          <w:rStyle w:val="Vnbnnidung"/>
          <w:rFonts w:ascii="Arial" w:hAnsi="Arial" w:cs="Arial"/>
          <w:sz w:val="20"/>
          <w:szCs w:val="20"/>
        </w:rPr>
        <w:t>)</w:t>
      </w:r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như sau:</w:t>
      </w:r>
    </w:p>
    <w:p w14:paraId="528F4E8D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“3.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tương đương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như sau:</w:t>
      </w:r>
    </w:p>
    <w:p w14:paraId="5EC555A1" w14:textId="77777777" w:rsidR="001109A0" w:rsidRDefault="001109A0" w:rsidP="001109A0">
      <w:pPr>
        <w:pStyle w:val="Vnbnnidung0"/>
        <w:tabs>
          <w:tab w:val="left" w:pos="93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bookmark7"/>
      <w:r>
        <w:rPr>
          <w:rStyle w:val="Vnbnnidung"/>
          <w:rFonts w:ascii="Arial" w:hAnsi="Arial" w:cs="Arial"/>
          <w:sz w:val="20"/>
          <w:szCs w:val="20"/>
        </w:rPr>
        <w:t>a</w:t>
      </w:r>
      <w:bookmarkEnd w:id="7"/>
      <w:r>
        <w:rPr>
          <w:rStyle w:val="Vnbnnidung"/>
          <w:rFonts w:ascii="Arial" w:hAnsi="Arial" w:cs="Arial"/>
          <w:sz w:val="20"/>
          <w:szCs w:val="20"/>
        </w:rPr>
        <w:t>)</w:t>
      </w:r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lệnh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đô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tương đương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trên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5372FC98" w14:textId="77777777" w:rsidR="001109A0" w:rsidRDefault="001109A0" w:rsidP="001109A0">
      <w:pPr>
        <w:pStyle w:val="Vnbnnidung0"/>
        <w:tabs>
          <w:tab w:val="left" w:pos="959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bookmark8"/>
      <w:r>
        <w:rPr>
          <w:rStyle w:val="Vnbnnidung"/>
          <w:rFonts w:ascii="Arial" w:hAnsi="Arial" w:cs="Arial"/>
          <w:sz w:val="20"/>
          <w:szCs w:val="20"/>
        </w:rPr>
        <w:lastRenderedPageBreak/>
        <w:t>b</w:t>
      </w:r>
      <w:bookmarkEnd w:id="8"/>
      <w:r>
        <w:rPr>
          <w:rStyle w:val="Vnbnnidung"/>
          <w:rFonts w:ascii="Arial" w:hAnsi="Arial" w:cs="Arial"/>
          <w:sz w:val="20"/>
          <w:szCs w:val="20"/>
        </w:rPr>
        <w:t>)</w:t>
      </w:r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lệnh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Hồ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Minh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tương đương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trên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Hồ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Minh;</w:t>
      </w:r>
    </w:p>
    <w:p w14:paraId="7D513DC3" w14:textId="77777777" w:rsidR="001109A0" w:rsidRDefault="001109A0" w:rsidP="001109A0">
      <w:pPr>
        <w:pStyle w:val="Vnbnnidung0"/>
        <w:tabs>
          <w:tab w:val="left" w:pos="959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bookmark9"/>
      <w:r>
        <w:rPr>
          <w:rStyle w:val="Vnbnnidung"/>
          <w:rFonts w:ascii="Arial" w:hAnsi="Arial" w:cs="Arial"/>
          <w:sz w:val="20"/>
          <w:szCs w:val="20"/>
        </w:rPr>
        <w:t>c</w:t>
      </w:r>
      <w:bookmarkEnd w:id="9"/>
      <w:r>
        <w:rPr>
          <w:rStyle w:val="Vnbnnidung"/>
          <w:rFonts w:ascii="Arial" w:hAnsi="Arial" w:cs="Arial"/>
          <w:sz w:val="20"/>
          <w:szCs w:val="20"/>
        </w:rPr>
        <w:t>)</w:t>
      </w:r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tương đương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trên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tỉnh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trung ương (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trừ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Hồ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Minh) do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Chỉ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huy quân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tỉnh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binh, trung tâm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huấn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luyện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tỉnh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.”</w:t>
      </w:r>
    </w:p>
    <w:p w14:paraId="30BB6D48" w14:textId="77777777" w:rsidR="001109A0" w:rsidRDefault="001109A0" w:rsidP="001109A0">
      <w:pPr>
        <w:pStyle w:val="Vnbnnidung0"/>
        <w:tabs>
          <w:tab w:val="left" w:pos="945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bookmark10"/>
      <w:r>
        <w:rPr>
          <w:rStyle w:val="Vnbnnidung"/>
          <w:rFonts w:ascii="Arial" w:hAnsi="Arial" w:cs="Arial"/>
          <w:sz w:val="20"/>
          <w:szCs w:val="20"/>
          <w:highlight w:val="white"/>
        </w:rPr>
        <w:t>c</w:t>
      </w:r>
      <w:bookmarkEnd w:id="10"/>
      <w:r>
        <w:rPr>
          <w:rStyle w:val="Vnbnnidung"/>
          <w:rFonts w:ascii="Arial" w:hAnsi="Arial" w:cs="Arial"/>
          <w:sz w:val="20"/>
          <w:szCs w:val="20"/>
          <w:highlight w:val="white"/>
        </w:rPr>
        <w:t>)</w:t>
      </w:r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như sau:</w:t>
      </w:r>
    </w:p>
    <w:p w14:paraId="215C3E59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“4. Ban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Chỉ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huy quân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huyện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tham mưu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cùng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quan,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huyện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tương đương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biểu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 dân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họ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tịch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ban nhân dân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huyện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6AD091FA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Cơ quan,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trung ương,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tỉnh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huyện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tịch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ban nhân dân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huyện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.”</w:t>
      </w:r>
    </w:p>
    <w:p w14:paraId="5E7D261E" w14:textId="77777777" w:rsidR="001109A0" w:rsidRDefault="001109A0" w:rsidP="001109A0">
      <w:pPr>
        <w:pStyle w:val="Vnbnnidung0"/>
        <w:tabs>
          <w:tab w:val="left" w:pos="91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bookmark11"/>
      <w:r>
        <w:rPr>
          <w:rStyle w:val="Vnbnnidung"/>
          <w:rFonts w:ascii="Arial" w:hAnsi="Arial" w:cs="Arial"/>
          <w:sz w:val="20"/>
          <w:szCs w:val="20"/>
          <w:highlight w:val="white"/>
        </w:rPr>
        <w:t>d</w:t>
      </w:r>
      <w:bookmarkEnd w:id="11"/>
      <w:r>
        <w:rPr>
          <w:rStyle w:val="Vnbnnidung"/>
          <w:rFonts w:ascii="Arial" w:hAnsi="Arial" w:cs="Arial"/>
          <w:sz w:val="20"/>
          <w:szCs w:val="20"/>
          <w:highlight w:val="white"/>
        </w:rPr>
        <w:t>)</w:t>
      </w:r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như sau:</w:t>
      </w:r>
    </w:p>
    <w:p w14:paraId="022C484F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“5.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tịch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tỉnh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.”</w:t>
      </w:r>
    </w:p>
    <w:p w14:paraId="77DEB864" w14:textId="77777777" w:rsidR="001109A0" w:rsidRDefault="001109A0" w:rsidP="001109A0">
      <w:pPr>
        <w:pStyle w:val="Vnbnnidung0"/>
        <w:tabs>
          <w:tab w:val="left" w:pos="889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bookmark12"/>
      <w:r>
        <w:rPr>
          <w:rStyle w:val="Vnbnnidung"/>
          <w:rFonts w:ascii="Arial" w:hAnsi="Arial" w:cs="Arial"/>
          <w:sz w:val="20"/>
          <w:szCs w:val="20"/>
          <w:highlight w:val="white"/>
        </w:rPr>
        <w:t>4</w:t>
      </w:r>
      <w:bookmarkEnd w:id="12"/>
      <w:r>
        <w:rPr>
          <w:rStyle w:val="Vnbnnidung"/>
          <w:rFonts w:ascii="Arial" w:hAnsi="Arial" w:cs="Arial"/>
          <w:sz w:val="20"/>
          <w:szCs w:val="20"/>
          <w:highlight w:val="white"/>
        </w:rPr>
        <w:t>.</w:t>
      </w:r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 như sau:</w:t>
      </w:r>
    </w:p>
    <w:p w14:paraId="3654CF4A" w14:textId="77777777" w:rsidR="001109A0" w:rsidRDefault="001109A0" w:rsidP="001109A0">
      <w:pPr>
        <w:pStyle w:val="Vnbnnidung0"/>
        <w:tabs>
          <w:tab w:val="left" w:pos="90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bookmark13"/>
      <w:r>
        <w:rPr>
          <w:rStyle w:val="Vnbnnidung"/>
          <w:rFonts w:ascii="Arial" w:hAnsi="Arial" w:cs="Arial"/>
          <w:sz w:val="20"/>
          <w:szCs w:val="20"/>
        </w:rPr>
        <w:t>a</w:t>
      </w:r>
      <w:bookmarkEnd w:id="13"/>
      <w:r>
        <w:rPr>
          <w:rStyle w:val="Vnbnnidung"/>
          <w:rFonts w:ascii="Arial" w:hAnsi="Arial" w:cs="Arial"/>
          <w:sz w:val="20"/>
          <w:szCs w:val="20"/>
        </w:rPr>
        <w:t>)</w:t>
      </w:r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 như sau:</w:t>
      </w:r>
    </w:p>
    <w:p w14:paraId="6EA11722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“c)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năm, Cơ quan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tỉnh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cùng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cơ quan,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liên quan xây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tương đương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sắc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tôn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văn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hóa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khoa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học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nghệ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năm sau,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tịch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ban nhân dân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tỉnh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7; xây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từng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khóa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tịch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tỉnh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3501579B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Hồ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Minh, Cơ quan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chỉ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từng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khóa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tịch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.”</w:t>
      </w:r>
    </w:p>
    <w:p w14:paraId="0F8AB0A6" w14:textId="77777777" w:rsidR="001109A0" w:rsidRDefault="001109A0" w:rsidP="001109A0">
      <w:pPr>
        <w:pStyle w:val="Vnbnnidung0"/>
        <w:tabs>
          <w:tab w:val="left" w:pos="92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bookmark14"/>
      <w:r>
        <w:rPr>
          <w:rStyle w:val="Vnbnnidung"/>
          <w:rFonts w:ascii="Arial" w:hAnsi="Arial" w:cs="Arial"/>
          <w:sz w:val="20"/>
          <w:szCs w:val="20"/>
        </w:rPr>
        <w:t>b</w:t>
      </w:r>
      <w:bookmarkEnd w:id="14"/>
      <w:r>
        <w:rPr>
          <w:rStyle w:val="Vnbnnidung"/>
          <w:rFonts w:ascii="Arial" w:hAnsi="Arial" w:cs="Arial"/>
          <w:sz w:val="20"/>
          <w:szCs w:val="20"/>
        </w:rPr>
        <w:t>)</w:t>
      </w:r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 như sau:</w:t>
      </w:r>
    </w:p>
    <w:p w14:paraId="56A793E4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“d)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năm,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như sau:</w:t>
      </w:r>
    </w:p>
    <w:p w14:paraId="75E16585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Cơ quan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huyện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cùng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cơ quan,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liên quan xây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tương đương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họ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huyện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biểu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 dân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năm sau,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tịch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ban nhân dân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huyện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7; xây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từng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khóa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tịch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huyện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63009B65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trừ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biểu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 dân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) năm sau,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tịch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ban nhân dân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huyện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7, xây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từng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khóa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tịch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huyện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29566A1A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quan,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trung ương,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tỉnh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huyện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năm sau,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tịch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ban nhân dân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huyện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7; xây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từng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khóa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tịch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huyện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.”</w:t>
      </w:r>
    </w:p>
    <w:p w14:paraId="73313D4F" w14:textId="77777777" w:rsidR="001109A0" w:rsidRDefault="001109A0" w:rsidP="001109A0">
      <w:pPr>
        <w:pStyle w:val="Vnbnnidung0"/>
        <w:tabs>
          <w:tab w:val="left" w:pos="92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bookmark15"/>
      <w:r>
        <w:rPr>
          <w:rStyle w:val="Vnbnnidung"/>
          <w:rFonts w:ascii="Arial" w:hAnsi="Arial" w:cs="Arial"/>
          <w:sz w:val="20"/>
          <w:szCs w:val="20"/>
          <w:highlight w:val="white"/>
        </w:rPr>
        <w:t>5</w:t>
      </w:r>
      <w:bookmarkEnd w:id="15"/>
      <w:r>
        <w:rPr>
          <w:rStyle w:val="Vnbnnidung"/>
          <w:rFonts w:ascii="Arial" w:hAnsi="Arial" w:cs="Arial"/>
          <w:sz w:val="20"/>
          <w:szCs w:val="20"/>
          <w:highlight w:val="white"/>
        </w:rPr>
        <w:t>.</w:t>
      </w:r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5 như sau:</w:t>
      </w:r>
    </w:p>
    <w:p w14:paraId="430A060C" w14:textId="77777777" w:rsidR="001109A0" w:rsidRDefault="001109A0" w:rsidP="001109A0">
      <w:pPr>
        <w:pStyle w:val="Vnbnnidung0"/>
        <w:tabs>
          <w:tab w:val="left" w:pos="939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bookmark16"/>
      <w:r>
        <w:rPr>
          <w:rStyle w:val="Vnbnnidung"/>
          <w:rFonts w:ascii="Arial" w:hAnsi="Arial" w:cs="Arial"/>
          <w:sz w:val="20"/>
          <w:szCs w:val="20"/>
        </w:rPr>
        <w:t>a</w:t>
      </w:r>
      <w:bookmarkEnd w:id="16"/>
      <w:r>
        <w:rPr>
          <w:rStyle w:val="Vnbnnidung"/>
          <w:rFonts w:ascii="Arial" w:hAnsi="Arial" w:cs="Arial"/>
          <w:sz w:val="20"/>
          <w:szCs w:val="20"/>
        </w:rPr>
        <w:t>)</w:t>
      </w:r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5 như sau:</w:t>
      </w:r>
    </w:p>
    <w:p w14:paraId="7296C80F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lastRenderedPageBreak/>
        <w:t xml:space="preserve">“đ)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Chỉ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huy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Chỉ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huy quân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tỉnh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lệnh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đô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lệnh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Hồ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Minh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thu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bỏ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giấy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nhận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1D85CF27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lệnh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lệnh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đô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lệnh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lệnh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Hồ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Minh,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Chỉ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huy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Chỉ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huy quân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tỉnh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thu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bỏ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giấy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nhận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sắc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tôn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văn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hóa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khoa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học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nghệ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3168CDA1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sz w:val="20"/>
          <w:szCs w:val="20"/>
        </w:rPr>
        <w:t>Chỉ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huy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Ban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Chỉ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huy quân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huyện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thu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bỏ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giấy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nhận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quan,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huyện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tương đương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biểu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 dân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họ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1CA577C0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tịch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ban nhân dân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thu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bỏ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giấy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nhận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.”</w:t>
      </w:r>
    </w:p>
    <w:p w14:paraId="12EFC78F" w14:textId="77777777" w:rsidR="001109A0" w:rsidRDefault="001109A0" w:rsidP="001109A0">
      <w:pPr>
        <w:pStyle w:val="Vnbnnidung0"/>
        <w:tabs>
          <w:tab w:val="left" w:pos="96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bookmark17"/>
      <w:r>
        <w:rPr>
          <w:rStyle w:val="Vnbnnidung"/>
          <w:rFonts w:ascii="Arial" w:hAnsi="Arial" w:cs="Arial"/>
          <w:sz w:val="20"/>
          <w:szCs w:val="20"/>
        </w:rPr>
        <w:t>b</w:t>
      </w:r>
      <w:bookmarkEnd w:id="17"/>
      <w:r>
        <w:rPr>
          <w:rStyle w:val="Vnbnnidung"/>
          <w:rFonts w:ascii="Arial" w:hAnsi="Arial" w:cs="Arial"/>
          <w:sz w:val="20"/>
          <w:szCs w:val="20"/>
        </w:rPr>
        <w:t>)</w:t>
      </w:r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5 như sau:</w:t>
      </w:r>
    </w:p>
    <w:p w14:paraId="13C78561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“e)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quan,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trung ương,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tỉnh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thu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bỏ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giấy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nhận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bồi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dưỡng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ninh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.”</w:t>
      </w:r>
    </w:p>
    <w:p w14:paraId="68549834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2.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Hiệu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lực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thi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hành</w:t>
      </w:r>
      <w:proofErr w:type="spellEnd"/>
    </w:p>
    <w:p w14:paraId="105FE50D" w14:textId="77777777" w:rsidR="001109A0" w:rsidRDefault="001109A0" w:rsidP="001109A0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từ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15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01 năm 2021.</w:t>
      </w:r>
    </w:p>
    <w:p w14:paraId="49E2D540" w14:textId="77777777" w:rsidR="001109A0" w:rsidRDefault="001109A0" w:rsidP="001109A0">
      <w:pPr>
        <w:pStyle w:val="Tiu10"/>
        <w:keepNext/>
        <w:keepLines/>
        <w:spacing w:after="120" w:line="240" w:lineRule="auto"/>
        <w:ind w:firstLine="720"/>
        <w:jc w:val="both"/>
        <w:outlineLvl w:val="9"/>
        <w:rPr>
          <w:rFonts w:ascii="Arial" w:hAnsi="Arial" w:cs="Arial"/>
          <w:sz w:val="20"/>
          <w:szCs w:val="20"/>
        </w:rPr>
      </w:pPr>
      <w:bookmarkStart w:id="18" w:name="bookmark18"/>
      <w:bookmarkStart w:id="19" w:name="bookmark19"/>
      <w:proofErr w:type="spellStart"/>
      <w:r>
        <w:rPr>
          <w:rStyle w:val="Tiu1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Tiu1"/>
          <w:rFonts w:ascii="Arial" w:hAnsi="Arial" w:cs="Arial"/>
          <w:b/>
          <w:bCs/>
          <w:sz w:val="20"/>
          <w:szCs w:val="20"/>
        </w:rPr>
        <w:t xml:space="preserve"> 3. </w:t>
      </w:r>
      <w:proofErr w:type="spellStart"/>
      <w:r>
        <w:rPr>
          <w:rStyle w:val="Tiu1"/>
          <w:rFonts w:ascii="Arial" w:hAnsi="Arial" w:cs="Arial"/>
          <w:b/>
          <w:bCs/>
          <w:sz w:val="20"/>
          <w:szCs w:val="20"/>
        </w:rPr>
        <w:t>Trách</w:t>
      </w:r>
      <w:proofErr w:type="spellEnd"/>
      <w:r>
        <w:rPr>
          <w:rStyle w:val="Tiu1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Tiu1"/>
          <w:rFonts w:ascii="Arial" w:hAnsi="Arial" w:cs="Arial"/>
          <w:b/>
          <w:bCs/>
          <w:sz w:val="20"/>
          <w:szCs w:val="20"/>
        </w:rPr>
        <w:t>nhiệm</w:t>
      </w:r>
      <w:proofErr w:type="spellEnd"/>
      <w:r>
        <w:rPr>
          <w:rStyle w:val="Tiu1"/>
          <w:rFonts w:ascii="Arial" w:hAnsi="Arial" w:cs="Arial"/>
          <w:b/>
          <w:bCs/>
          <w:sz w:val="20"/>
          <w:szCs w:val="20"/>
        </w:rPr>
        <w:t xml:space="preserve"> thi </w:t>
      </w:r>
      <w:proofErr w:type="spellStart"/>
      <w:r>
        <w:rPr>
          <w:rStyle w:val="Tiu1"/>
          <w:rFonts w:ascii="Arial" w:hAnsi="Arial" w:cs="Arial"/>
          <w:b/>
          <w:bCs/>
          <w:sz w:val="20"/>
          <w:szCs w:val="20"/>
        </w:rPr>
        <w:t>hành</w:t>
      </w:r>
      <w:bookmarkEnd w:id="18"/>
      <w:bookmarkEnd w:id="19"/>
      <w:proofErr w:type="spellEnd"/>
    </w:p>
    <w:p w14:paraId="1E1BD490" w14:textId="77777777" w:rsidR="001109A0" w:rsidRDefault="001109A0" w:rsidP="001109A0">
      <w:pPr>
        <w:pStyle w:val="Vnbnnidung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quan ngang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quan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tịch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ban nhân dân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tỉnh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trung ương,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quan,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 liên quan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chịu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ý.</w:t>
      </w:r>
    </w:p>
    <w:p w14:paraId="2CB669C3" w14:textId="77777777" w:rsidR="001109A0" w:rsidRDefault="001109A0" w:rsidP="001109A0">
      <w:pPr>
        <w:widowControl/>
        <w:rPr>
          <w:rFonts w:ascii="Arial" w:hAnsi="Arial" w:cs="Arial"/>
          <w:color w:val="auto"/>
          <w:sz w:val="20"/>
          <w:szCs w:val="20"/>
        </w:rPr>
        <w:sectPr w:rsidR="001109A0">
          <w:pgSz w:w="11900" w:h="16840"/>
          <w:pgMar w:top="1440" w:right="1440" w:bottom="1440" w:left="1440" w:header="0" w:footer="3" w:gutter="0"/>
          <w:cols w:space="720"/>
        </w:sectPr>
      </w:pPr>
    </w:p>
    <w:p w14:paraId="6D042252" w14:textId="77777777" w:rsidR="001109A0" w:rsidRDefault="001109A0" w:rsidP="001109A0">
      <w:pPr>
        <w:rPr>
          <w:rFonts w:ascii="Arial" w:hAnsi="Arial" w:cs="Arial"/>
          <w:color w:val="auto"/>
          <w:sz w:val="20"/>
          <w:szCs w:val="20"/>
          <w:lang w:eastAsia="zh-CN"/>
        </w:rPr>
      </w:pPr>
    </w:p>
    <w:p w14:paraId="52A5A4BD" w14:textId="77777777" w:rsidR="001109A0" w:rsidRDefault="001109A0" w:rsidP="001109A0">
      <w:pPr>
        <w:widowControl/>
        <w:rPr>
          <w:rFonts w:ascii="Arial" w:hAnsi="Arial" w:cs="Arial"/>
          <w:color w:val="auto"/>
          <w:sz w:val="20"/>
          <w:szCs w:val="20"/>
          <w:lang w:eastAsia="zh-CN"/>
        </w:rPr>
        <w:sectPr w:rsidR="001109A0">
          <w:type w:val="continuous"/>
          <w:pgSz w:w="11900" w:h="16840"/>
          <w:pgMar w:top="1440" w:right="1440" w:bottom="1440" w:left="1440" w:header="0" w:footer="3" w:gutter="0"/>
          <w:cols w:space="720"/>
        </w:sect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3"/>
        <w:gridCol w:w="3513"/>
      </w:tblGrid>
      <w:tr w:rsidR="001109A0" w14:paraId="572CEDF9" w14:textId="77777777" w:rsidTr="001109A0">
        <w:trPr>
          <w:trHeight w:val="936"/>
          <w:jc w:val="center"/>
        </w:trPr>
        <w:tc>
          <w:tcPr>
            <w:tcW w:w="5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DD7BA" w14:textId="77777777" w:rsidR="001109A0" w:rsidRDefault="001109A0">
            <w:pPr>
              <w:widowControl/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lastRenderedPageBreak/>
              <w:t xml:space="preserve">Nơi </w:t>
            </w:r>
            <w:proofErr w:type="spellStart"/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nhận</w:t>
            </w:r>
            <w:proofErr w:type="spellEnd"/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eastAsia="en-US"/>
              </w:rPr>
              <w:t>:</w:t>
            </w:r>
          </w:p>
          <w:p w14:paraId="2339D815" w14:textId="77777777" w:rsidR="001109A0" w:rsidRDefault="001109A0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Ban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Bí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thư Trung ương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Đảng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14:paraId="7D236B7A" w14:textId="77777777" w:rsidR="001109A0" w:rsidRDefault="001109A0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Thủ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tướng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các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Phó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Thủ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tướng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Chính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phủ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14:paraId="52DF1CF5" w14:textId="77777777" w:rsidR="001109A0" w:rsidRDefault="001109A0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Các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bộ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, cơ quan ngang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bộ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, cơ quan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thuộc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Chính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phủ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14:paraId="5466C3BC" w14:textId="77777777" w:rsidR="001109A0" w:rsidRDefault="001109A0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HĐND, UBND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các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tỉnh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thành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phố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trực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thuộc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trung ương;</w:t>
            </w:r>
          </w:p>
          <w:p w14:paraId="056FF03F" w14:textId="77777777" w:rsidR="001109A0" w:rsidRDefault="001109A0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Văn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phòng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Trung ương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và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các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Ban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của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Đảng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14:paraId="32605869" w14:textId="77777777" w:rsidR="001109A0" w:rsidRDefault="001109A0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Văn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phòng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Tổng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Bí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thư;</w:t>
            </w:r>
          </w:p>
          <w:p w14:paraId="352C7E79" w14:textId="77777777" w:rsidR="001109A0" w:rsidRDefault="001109A0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Văn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phòng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Chủ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tịch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nước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14:paraId="06FCC8FE" w14:textId="77777777" w:rsidR="001109A0" w:rsidRDefault="001109A0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Hội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đồng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Dân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tộc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và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các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Ủy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ban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của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Quốc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hội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14:paraId="2AB7745E" w14:textId="77777777" w:rsidR="001109A0" w:rsidRDefault="001109A0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Văn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phòng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Quốc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hội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14:paraId="5AF8078C" w14:textId="77777777" w:rsidR="001109A0" w:rsidRDefault="001109A0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Tòa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án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nhân dân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tối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cao;</w:t>
            </w:r>
          </w:p>
          <w:p w14:paraId="7846780C" w14:textId="77777777" w:rsidR="001109A0" w:rsidRDefault="001109A0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Viện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kiểm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sát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nhân dân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tối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cao;</w:t>
            </w:r>
          </w:p>
          <w:p w14:paraId="42785DAB" w14:textId="77777777" w:rsidR="001109A0" w:rsidRDefault="001109A0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Kiểm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toán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Nhà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nước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14:paraId="1EAE45F6" w14:textId="77777777" w:rsidR="001109A0" w:rsidRDefault="001109A0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Ủy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ban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Giám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sát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tài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chính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Quốc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gia;</w:t>
            </w:r>
          </w:p>
          <w:p w14:paraId="1EBEA3DE" w14:textId="77777777" w:rsidR="001109A0" w:rsidRDefault="001109A0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Ngân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hàng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Chính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sách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xã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hội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14:paraId="12A149A7" w14:textId="77777777" w:rsidR="001109A0" w:rsidRDefault="001109A0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</w:t>
            </w:r>
            <w:r w:rsidRPr="001109A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Ngân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hàng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Phát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triển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Việt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Nam;</w:t>
            </w:r>
          </w:p>
          <w:p w14:paraId="50934284" w14:textId="77777777" w:rsidR="001109A0" w:rsidRDefault="001109A0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</w:t>
            </w:r>
            <w:r w:rsidRPr="001109A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Ủy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ban Trung ương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Mặt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trận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Tổ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quốc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Việt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Nam;</w:t>
            </w:r>
          </w:p>
          <w:p w14:paraId="3C6B9A4B" w14:textId="77777777" w:rsidR="001109A0" w:rsidRDefault="001109A0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Cơ quan trung ương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của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các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đoàn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thể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14:paraId="070B0F02" w14:textId="77777777" w:rsidR="001109A0" w:rsidRDefault="001109A0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- VPCP: BTCN,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các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PCN,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Trợ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lý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TTg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, TGĐ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Cổng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TTĐT,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các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Vụ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Cục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, đơn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vị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trực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thuộc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, Công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báo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14:paraId="4E4B7872" w14:textId="77777777" w:rsidR="001109A0" w:rsidRDefault="001109A0">
            <w:pPr>
              <w:widowControl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Lưu: VT, NC (2b)</w:t>
            </w:r>
          </w:p>
        </w:tc>
        <w:tc>
          <w:tcPr>
            <w:tcW w:w="3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9A83" w14:textId="77777777" w:rsidR="001109A0" w:rsidRDefault="001109A0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vi-VN"/>
              </w:rPr>
            </w:pPr>
            <w:r>
              <w:rPr>
                <w:rStyle w:val="Vnbnnidung"/>
                <w:rFonts w:ascii="Arial" w:hAnsi="Arial" w:cs="Arial"/>
                <w:b/>
                <w:bCs/>
                <w:sz w:val="20"/>
                <w:szCs w:val="20"/>
              </w:rPr>
              <w:t>TM. CHÍNH PHỦ</w:t>
            </w:r>
            <w:r>
              <w:rPr>
                <w:rStyle w:val="Vnbnnidung"/>
                <w:rFonts w:ascii="Arial" w:hAnsi="Arial" w:cs="Arial"/>
                <w:b/>
                <w:bCs/>
                <w:sz w:val="20"/>
                <w:szCs w:val="20"/>
              </w:rPr>
              <w:br/>
              <w:t>THỦ TƯỚNG</w:t>
            </w:r>
          </w:p>
          <w:p w14:paraId="222C590D" w14:textId="77777777" w:rsidR="001109A0" w:rsidRPr="001109A0" w:rsidRDefault="001109A0">
            <w:pPr>
              <w:pStyle w:val="Tiu10"/>
              <w:keepNext/>
              <w:keepLines/>
              <w:spacing w:after="0" w:line="240" w:lineRule="auto"/>
              <w:ind w:firstLine="0"/>
              <w:jc w:val="center"/>
              <w:outlineLvl w:val="9"/>
              <w:rPr>
                <w:rStyle w:val="Tiu1"/>
                <w:rFonts w:ascii="Arial" w:hAnsi="Arial" w:cs="Arial"/>
                <w:b/>
                <w:bCs/>
                <w:sz w:val="20"/>
                <w:szCs w:val="20"/>
              </w:rPr>
            </w:pPr>
            <w:bookmarkStart w:id="20" w:name="bookmark33"/>
            <w:bookmarkStart w:id="21" w:name="bookmark32"/>
          </w:p>
          <w:p w14:paraId="1A6109D0" w14:textId="77777777" w:rsidR="001109A0" w:rsidRPr="001109A0" w:rsidRDefault="001109A0">
            <w:pPr>
              <w:pStyle w:val="Tiu10"/>
              <w:keepNext/>
              <w:keepLines/>
              <w:spacing w:after="0" w:line="240" w:lineRule="auto"/>
              <w:ind w:firstLine="0"/>
              <w:jc w:val="center"/>
              <w:outlineLvl w:val="9"/>
              <w:rPr>
                <w:rStyle w:val="Tiu1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C22BFC" w14:textId="77777777" w:rsidR="001109A0" w:rsidRPr="001109A0" w:rsidRDefault="001109A0">
            <w:pPr>
              <w:pStyle w:val="Tiu10"/>
              <w:keepNext/>
              <w:keepLines/>
              <w:spacing w:after="0" w:line="240" w:lineRule="auto"/>
              <w:ind w:firstLine="0"/>
              <w:jc w:val="center"/>
              <w:outlineLvl w:val="9"/>
              <w:rPr>
                <w:rStyle w:val="Tiu1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1E1799" w14:textId="77777777" w:rsidR="001109A0" w:rsidRPr="001109A0" w:rsidRDefault="001109A0">
            <w:pPr>
              <w:pStyle w:val="Tiu10"/>
              <w:keepNext/>
              <w:keepLines/>
              <w:spacing w:after="0" w:line="240" w:lineRule="auto"/>
              <w:ind w:firstLine="0"/>
              <w:jc w:val="center"/>
              <w:outlineLvl w:val="9"/>
              <w:rPr>
                <w:rStyle w:val="Tiu1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7C1324" w14:textId="77777777" w:rsidR="001109A0" w:rsidRPr="001109A0" w:rsidRDefault="001109A0">
            <w:pPr>
              <w:pStyle w:val="Tiu10"/>
              <w:keepNext/>
              <w:keepLines/>
              <w:spacing w:after="0" w:line="240" w:lineRule="auto"/>
              <w:ind w:firstLine="0"/>
              <w:jc w:val="center"/>
              <w:outlineLvl w:val="9"/>
              <w:rPr>
                <w:rStyle w:val="Tiu1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F6F54B" w14:textId="77777777" w:rsidR="001109A0" w:rsidRDefault="001109A0">
            <w:pPr>
              <w:pStyle w:val="Tiu10"/>
              <w:keepNext/>
              <w:keepLines/>
              <w:spacing w:after="0" w:line="240" w:lineRule="auto"/>
              <w:ind w:firstLine="0"/>
              <w:jc w:val="center"/>
              <w:outlineLvl w:val="9"/>
            </w:pPr>
            <w:r w:rsidRPr="001109A0">
              <w:rPr>
                <w:rStyle w:val="Tiu1"/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spellStart"/>
            <w:r>
              <w:rPr>
                <w:rStyle w:val="Tiu1"/>
                <w:rFonts w:ascii="Arial" w:hAnsi="Arial" w:cs="Arial"/>
                <w:b/>
                <w:bCs/>
                <w:sz w:val="20"/>
                <w:szCs w:val="20"/>
              </w:rPr>
              <w:t>guyễn</w:t>
            </w:r>
            <w:proofErr w:type="spellEnd"/>
            <w:r>
              <w:rPr>
                <w:rStyle w:val="Tiu1"/>
                <w:rFonts w:ascii="Arial" w:hAnsi="Arial" w:cs="Arial"/>
                <w:b/>
                <w:bCs/>
                <w:sz w:val="20"/>
                <w:szCs w:val="20"/>
              </w:rPr>
              <w:t xml:space="preserve"> Xuân </w:t>
            </w:r>
            <w:proofErr w:type="spellStart"/>
            <w:r>
              <w:rPr>
                <w:rStyle w:val="Tiu1"/>
                <w:rFonts w:ascii="Arial" w:hAnsi="Arial" w:cs="Arial"/>
                <w:b/>
                <w:bCs/>
                <w:sz w:val="20"/>
                <w:szCs w:val="20"/>
              </w:rPr>
              <w:t>Phúc</w:t>
            </w:r>
            <w:bookmarkEnd w:id="20"/>
            <w:bookmarkEnd w:id="21"/>
            <w:proofErr w:type="spellEnd"/>
          </w:p>
        </w:tc>
      </w:tr>
    </w:tbl>
    <w:p w14:paraId="71B25E58" w14:textId="77777777" w:rsidR="001109A0" w:rsidRDefault="001109A0" w:rsidP="001109A0">
      <w:pPr>
        <w:rPr>
          <w:rFonts w:ascii="Arial" w:hAnsi="Arial" w:cs="Arial"/>
          <w:color w:val="auto"/>
          <w:sz w:val="20"/>
          <w:szCs w:val="20"/>
          <w:lang w:eastAsia="zh-CN"/>
        </w:rPr>
      </w:pPr>
    </w:p>
    <w:p w14:paraId="62DA5499" w14:textId="77777777" w:rsidR="001109A0" w:rsidRDefault="001109A0" w:rsidP="001109A0">
      <w:pPr>
        <w:rPr>
          <w:rFonts w:ascii="Arial" w:hAnsi="Arial" w:cs="Arial"/>
          <w:color w:val="auto"/>
          <w:sz w:val="20"/>
          <w:szCs w:val="20"/>
          <w:lang w:eastAsia="zh-CN"/>
        </w:rPr>
      </w:pPr>
    </w:p>
    <w:p w14:paraId="465E715F" w14:textId="77777777" w:rsidR="00294B2F" w:rsidRDefault="00294B2F"/>
    <w:sectPr w:rsidR="00294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A0"/>
    <w:rsid w:val="001109A0"/>
    <w:rsid w:val="002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52A824"/>
  <w15:chartTrackingRefBased/>
  <w15:docId w15:val="{B03C79FE-B4E6-4DBD-9A09-291B413D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1109A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1109A0"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Binhthng"/>
    <w:link w:val="Vnbnnidung"/>
    <w:uiPriority w:val="99"/>
    <w:rsid w:val="001109A0"/>
    <w:pPr>
      <w:spacing w:after="200" w:line="264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Tiu1">
    <w:name w:val="Tiêu đề #1_"/>
    <w:link w:val="Tiu10"/>
    <w:uiPriority w:val="99"/>
    <w:locked/>
    <w:rsid w:val="001109A0"/>
    <w:rPr>
      <w:rFonts w:ascii="Times New Roman" w:hAnsi="Times New Roman" w:cs="Times New Roman"/>
      <w:b/>
      <w:bCs/>
      <w:sz w:val="26"/>
      <w:szCs w:val="26"/>
    </w:rPr>
  </w:style>
  <w:style w:type="paragraph" w:customStyle="1" w:styleId="Tiu10">
    <w:name w:val="Tiêu đề #1"/>
    <w:basedOn w:val="Binhthng"/>
    <w:link w:val="Tiu1"/>
    <w:uiPriority w:val="99"/>
    <w:rsid w:val="001109A0"/>
    <w:pPr>
      <w:spacing w:after="100" w:line="252" w:lineRule="auto"/>
      <w:ind w:firstLine="280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Trang Nguyễn</dc:creator>
  <cp:keywords/>
  <dc:description/>
  <cp:lastModifiedBy>Linh Trang Nguyễn</cp:lastModifiedBy>
  <cp:revision>1</cp:revision>
  <dcterms:created xsi:type="dcterms:W3CDTF">2021-08-05T09:25:00Z</dcterms:created>
  <dcterms:modified xsi:type="dcterms:W3CDTF">2021-08-05T09:26:00Z</dcterms:modified>
</cp:coreProperties>
</file>