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5701"/>
      </w:tblGrid>
      <w:tr w:rsidR="003B0B24" w:rsidRPr="003B0B24" w14:paraId="5C2A9AF1" w14:textId="77777777" w:rsidTr="00325F46">
        <w:trPr>
          <w:trHeight w:val="936"/>
        </w:trPr>
        <w:tc>
          <w:tcPr>
            <w:tcW w:w="324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D693" w14:textId="77777777" w:rsidR="003B0B24" w:rsidRPr="003B0B24" w:rsidRDefault="003B0B24" w:rsidP="00325F4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BỘ Y TẾ</w:t>
            </w: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  <w:p w14:paraId="6C9B8EC1" w14:textId="77777777" w:rsidR="003B0B24" w:rsidRPr="003B0B24" w:rsidRDefault="003B0B24" w:rsidP="00325F4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Số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: </w:t>
            </w:r>
            <w:r w:rsidRPr="003B0B24">
              <w:rPr>
                <w:rFonts w:ascii="Arial" w:hAnsi="Arial" w:cs="Arial"/>
                <w:sz w:val="20"/>
                <w:szCs w:val="20"/>
                <w:lang w:val="fr-FR"/>
              </w:rPr>
              <w:t>30/2020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/</w:t>
            </w:r>
            <w:r w:rsidRPr="003B0B24">
              <w:rPr>
                <w:rFonts w:ascii="Arial" w:hAnsi="Arial" w:cs="Arial"/>
                <w:sz w:val="20"/>
                <w:szCs w:val="20"/>
                <w:lang w:val="fr-FR"/>
              </w:rPr>
              <w:t>TT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-BYT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7BA6" w14:textId="77777777" w:rsidR="003B0B24" w:rsidRPr="003B0B24" w:rsidRDefault="003B0B24" w:rsidP="00325F4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proofErr w:type="spellStart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Độc</w:t>
            </w:r>
            <w:proofErr w:type="spellEnd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lập</w:t>
            </w:r>
            <w:proofErr w:type="spellEnd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- </w:t>
            </w:r>
            <w:proofErr w:type="spellStart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Tự</w:t>
            </w:r>
            <w:proofErr w:type="spellEnd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do - </w:t>
            </w:r>
            <w:proofErr w:type="spellStart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Hạnh</w:t>
            </w:r>
            <w:proofErr w:type="spellEnd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phúc</w:t>
            </w:r>
            <w:proofErr w:type="spellEnd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  <w:p w14:paraId="41545AC2" w14:textId="77777777" w:rsidR="003B0B24" w:rsidRPr="003B0B24" w:rsidRDefault="003B0B24" w:rsidP="00325F4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A536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Hà</w:t>
            </w:r>
            <w:proofErr w:type="spellEnd"/>
            <w:r w:rsidRPr="002A536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Nội</w:t>
            </w:r>
            <w:proofErr w:type="spellEnd"/>
            <w:r w:rsidRPr="002A536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2A536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ngày</w:t>
            </w:r>
            <w:proofErr w:type="spellEnd"/>
            <w:r w:rsidRPr="002A536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 31 </w:t>
            </w:r>
            <w:proofErr w:type="spellStart"/>
            <w:r w:rsidRPr="002A536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tháng</w:t>
            </w:r>
            <w:proofErr w:type="spellEnd"/>
            <w:r w:rsidRPr="002A536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 12 năm 2020</w:t>
            </w:r>
          </w:p>
        </w:tc>
      </w:tr>
    </w:tbl>
    <w:p w14:paraId="698700EA" w14:textId="77777777" w:rsidR="003B0B24" w:rsidRPr="002A536C" w:rsidRDefault="003B0B24" w:rsidP="003B0B24">
      <w:pPr>
        <w:jc w:val="center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> </w:t>
      </w:r>
    </w:p>
    <w:p w14:paraId="7B3B0A63" w14:textId="77777777" w:rsidR="003B0B24" w:rsidRPr="003B0B24" w:rsidRDefault="003B0B24" w:rsidP="003B0B24">
      <w:pPr>
        <w:jc w:val="center"/>
        <w:rPr>
          <w:rFonts w:ascii="Arial" w:hAnsi="Arial" w:cs="Arial"/>
          <w:sz w:val="20"/>
          <w:szCs w:val="20"/>
          <w:lang w:val="fr-FR"/>
        </w:rPr>
      </w:pPr>
    </w:p>
    <w:p w14:paraId="230A820F" w14:textId="77777777" w:rsidR="003B0B24" w:rsidRPr="003B0B24" w:rsidRDefault="003B0B24" w:rsidP="003B0B24">
      <w:pPr>
        <w:jc w:val="center"/>
        <w:rPr>
          <w:rFonts w:ascii="Arial" w:hAnsi="Arial" w:cs="Arial"/>
          <w:sz w:val="20"/>
          <w:szCs w:val="20"/>
          <w:lang w:val="fr-FR"/>
        </w:rPr>
      </w:pPr>
      <w:bookmarkStart w:id="0" w:name="loai_1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THÔNG TƯ</w:t>
      </w:r>
      <w:bookmarkEnd w:id="0"/>
    </w:p>
    <w:p w14:paraId="652C4A4B" w14:textId="77777777" w:rsidR="003B0B24" w:rsidRPr="002A536C" w:rsidRDefault="003B0B24" w:rsidP="003B0B24">
      <w:pPr>
        <w:jc w:val="center"/>
        <w:rPr>
          <w:rFonts w:ascii="Arial" w:hAnsi="Arial" w:cs="Arial"/>
          <w:b/>
          <w:sz w:val="20"/>
          <w:szCs w:val="20"/>
          <w:lang w:val="vi-VN"/>
        </w:rPr>
      </w:pPr>
      <w:bookmarkStart w:id="1" w:name="loai_1_name"/>
      <w:r w:rsidRPr="002A536C">
        <w:rPr>
          <w:rFonts w:ascii="Arial" w:hAnsi="Arial" w:cs="Arial"/>
          <w:b/>
          <w:sz w:val="20"/>
          <w:szCs w:val="20"/>
          <w:lang w:val="vi-VN"/>
        </w:rPr>
        <w:t>QUY ĐỊNH CHI TIẾT VÀ HƯỚNG DẪN BIỆN PHÁP THI HÀNH MỘT SỐ ĐIỀU CỦA NGHỊ ĐỊNH SỐ 146/2018/NĐ-CP NGÀY 17 THÁNG 10 NĂM 2018 CỦA CHÍNH PHỦ QUY ĐỊNH CHI TIẾT VÀ HƯỚNG DẪN BIỆN PHÁP THI HÀNH MỘT SỐ ĐIỀU CỦA LUẬT BẢO HIỂM Y TẾ</w:t>
      </w:r>
      <w:bookmarkEnd w:id="1"/>
    </w:p>
    <w:p w14:paraId="6F2B1F12" w14:textId="77777777" w:rsidR="003B0B24" w:rsidRPr="003B0B24" w:rsidRDefault="003B0B24" w:rsidP="003B0B24">
      <w:pPr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3B0B24">
        <w:rPr>
          <w:rFonts w:ascii="Arial" w:hAnsi="Arial" w:cs="Arial"/>
          <w:b/>
          <w:sz w:val="20"/>
          <w:szCs w:val="20"/>
          <w:lang w:val="vi-VN"/>
        </w:rPr>
        <w:t>_______________________</w:t>
      </w:r>
    </w:p>
    <w:p w14:paraId="6453F118" w14:textId="77777777" w:rsidR="003B0B24" w:rsidRPr="003B0B24" w:rsidRDefault="003B0B24" w:rsidP="003B0B24">
      <w:pPr>
        <w:jc w:val="center"/>
        <w:rPr>
          <w:rFonts w:ascii="Arial" w:hAnsi="Arial" w:cs="Arial"/>
          <w:b/>
          <w:sz w:val="20"/>
          <w:szCs w:val="20"/>
          <w:lang w:val="vi-VN"/>
        </w:rPr>
      </w:pPr>
    </w:p>
    <w:p w14:paraId="035513C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Căn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25/2008/QH12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14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11 năm 2008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sửa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bổ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sung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46/2014/QH13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13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6 năm 2014;</w:t>
      </w:r>
    </w:p>
    <w:p w14:paraId="71E4FFB3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Căn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146/2018/NĐ-CP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17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10 năm 2018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tiết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biện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thi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;</w:t>
      </w:r>
    </w:p>
    <w:p w14:paraId="793275A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Căn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75/2017/NĐ-CP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20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6 năm 2017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năng,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hạn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cấu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;</w:t>
      </w:r>
    </w:p>
    <w:p w14:paraId="1FD79F2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Theo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đề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,</w:t>
      </w:r>
    </w:p>
    <w:p w14:paraId="2E011972" w14:textId="77777777" w:rsidR="003B0B24" w:rsidRPr="003B0B24" w:rsidRDefault="003B0B24" w:rsidP="003B0B24">
      <w:pPr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Thông tư quy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tiết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biện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thi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146/2018/NĐ-CP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17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10 năm 2018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tiết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biện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thi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i/>
          <w:iCs/>
          <w:sz w:val="20"/>
          <w:szCs w:val="20"/>
          <w:lang w:val="vi-VN"/>
        </w:rPr>
        <w:t>.</w:t>
      </w:r>
    </w:p>
    <w:p w14:paraId="7B39FD6E" w14:textId="77777777" w:rsidR="003B0B24" w:rsidRPr="002A536C" w:rsidRDefault="003B0B24" w:rsidP="003B0B24">
      <w:pPr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bookmarkStart w:id="2" w:name="chuong_1"/>
    </w:p>
    <w:p w14:paraId="7ABC6F0D" w14:textId="77777777" w:rsidR="003B0B24" w:rsidRPr="002A536C" w:rsidRDefault="003B0B24" w:rsidP="003B0B24">
      <w:pPr>
        <w:jc w:val="center"/>
        <w:rPr>
          <w:rFonts w:ascii="Arial" w:hAnsi="Arial" w:cs="Arial"/>
          <w:sz w:val="20"/>
          <w:szCs w:val="20"/>
        </w:rPr>
      </w:pPr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Chương I</w:t>
      </w:r>
      <w:bookmarkEnd w:id="2"/>
    </w:p>
    <w:p w14:paraId="29FD3CEF" w14:textId="77777777" w:rsidR="003B0B24" w:rsidRPr="002A536C" w:rsidRDefault="003B0B24" w:rsidP="003B0B24">
      <w:pPr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bookmarkStart w:id="3" w:name="chuong_1_name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QUY ĐỊNH CHUNG</w:t>
      </w:r>
      <w:bookmarkEnd w:id="3"/>
    </w:p>
    <w:p w14:paraId="7317765C" w14:textId="77777777" w:rsidR="003B0B24" w:rsidRPr="002A536C" w:rsidRDefault="003B0B24" w:rsidP="003B0B24">
      <w:pPr>
        <w:jc w:val="center"/>
        <w:rPr>
          <w:rFonts w:ascii="Arial" w:hAnsi="Arial" w:cs="Arial"/>
          <w:sz w:val="20"/>
          <w:szCs w:val="20"/>
        </w:rPr>
      </w:pPr>
    </w:p>
    <w:p w14:paraId="6624A9F2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4" w:name="dieu_1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1.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Phạm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vi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chỉnh</w:t>
      </w:r>
      <w:bookmarkEnd w:id="4"/>
      <w:proofErr w:type="spellEnd"/>
    </w:p>
    <w:p w14:paraId="279892F0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2349DBD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giảm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63840BC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5BC53D2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3.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38C86CF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5" w:name="dieu_2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2.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Giải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thích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ngữ</w:t>
      </w:r>
      <w:bookmarkEnd w:id="5"/>
      <w:proofErr w:type="spellEnd"/>
    </w:p>
    <w:p w14:paraId="7C09317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Trong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những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(chung 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07BBBE76" w14:textId="77777777" w:rsidR="003B0B24" w:rsidRPr="003B0B24" w:rsidRDefault="003B0B24" w:rsidP="003B0B24">
      <w:pPr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6.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B,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hai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ranh. Như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vậy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đăng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A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100%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6" w:name="dc_1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6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10 năm 2018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(sau đây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gọi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146/2018/NĐ-CP).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A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B, nên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đăng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ranh.</w:t>
      </w:r>
    </w:p>
    <w:p w14:paraId="48865DB4" w14:textId="77777777" w:rsidR="003B0B24" w:rsidRPr="002A536C" w:rsidRDefault="003B0B24" w:rsidP="003B0B24">
      <w:pPr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bookmarkStart w:id="7" w:name="chuong_2"/>
    </w:p>
    <w:p w14:paraId="65C59C01" w14:textId="77777777" w:rsidR="003B0B24" w:rsidRPr="003B0B24" w:rsidRDefault="003B0B24" w:rsidP="003B0B24">
      <w:pPr>
        <w:jc w:val="center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Chương II</w:t>
      </w:r>
      <w:bookmarkEnd w:id="7"/>
    </w:p>
    <w:p w14:paraId="68FEB57E" w14:textId="77777777" w:rsidR="003B0B24" w:rsidRPr="002A536C" w:rsidRDefault="003B0B24" w:rsidP="003B0B24">
      <w:pPr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bookmarkStart w:id="8" w:name="chuong_2_name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ĐÓNG BẢO HIỂM Y TẾ, GIẢM TRỪ MỨC ĐÓNG BẢO HIỂM Y TẾ ĐỐI VỚI MỘT SỐ ĐỐI TƯỢNG</w:t>
      </w:r>
      <w:bookmarkEnd w:id="8"/>
    </w:p>
    <w:p w14:paraId="0E858888" w14:textId="77777777" w:rsidR="003B0B24" w:rsidRPr="003B0B24" w:rsidRDefault="003B0B24" w:rsidP="003B0B24">
      <w:pPr>
        <w:jc w:val="center"/>
        <w:rPr>
          <w:rFonts w:ascii="Arial" w:hAnsi="Arial" w:cs="Arial"/>
          <w:sz w:val="20"/>
          <w:szCs w:val="20"/>
          <w:lang w:val="vi-VN"/>
        </w:rPr>
      </w:pPr>
    </w:p>
    <w:p w14:paraId="33D3702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9" w:name="dieu_3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3.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Đóng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sơ sinh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cần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ngay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kể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khi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sinh ra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mà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vong</w:t>
      </w:r>
      <w:bookmarkEnd w:id="9"/>
    </w:p>
    <w:p w14:paraId="518211C2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lastRenderedPageBreak/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sinh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cần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ngay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sinh ra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vong,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gửi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kèm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tóm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tắt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hồ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những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gửi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đặt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sinh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bỏ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10" w:name="dc_2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bookmarkEnd w:id="10"/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05F022E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11" w:name="dieu_4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4.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đóng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đóng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giảm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trừ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đóng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hình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thức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hộ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gia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đình</w:t>
      </w:r>
      <w:bookmarkEnd w:id="11"/>
      <w:proofErr w:type="spellEnd"/>
    </w:p>
    <w:p w14:paraId="6877F98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12" w:name="dc_3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12"/>
      <w:r w:rsidRPr="002A536C">
        <w:rPr>
          <w:rFonts w:ascii="Arial" w:hAnsi="Arial" w:cs="Arial"/>
          <w:sz w:val="20"/>
          <w:szCs w:val="20"/>
          <w:lang w:val="vi-VN"/>
        </w:rPr>
        <w:t xml:space="preserve"> căn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đây:</w:t>
      </w:r>
    </w:p>
    <w:p w14:paraId="5DAD2C7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sắc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khẩu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dấu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tôn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sắc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57901C23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khẩu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dấu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đang cư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4E94400F" w14:textId="77777777" w:rsidR="003B0B24" w:rsidRPr="003B0B24" w:rsidRDefault="003B0B24" w:rsidP="003B0B24">
      <w:pPr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giảm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13" w:name="dc_4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13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ngay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hai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tên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khẩu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dấu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tôn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286A5505" w14:textId="77777777" w:rsidR="003B0B24" w:rsidRPr="002A536C" w:rsidRDefault="003B0B24" w:rsidP="003B0B24">
      <w:pPr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bookmarkStart w:id="14" w:name="chuong_3"/>
    </w:p>
    <w:p w14:paraId="124C64EE" w14:textId="77777777" w:rsidR="003B0B24" w:rsidRPr="003B0B24" w:rsidRDefault="003B0B24" w:rsidP="003B0B24">
      <w:pPr>
        <w:jc w:val="center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Chương III</w:t>
      </w:r>
      <w:bookmarkEnd w:id="14"/>
    </w:p>
    <w:p w14:paraId="17C8B636" w14:textId="77777777" w:rsidR="003B0B24" w:rsidRPr="002A536C" w:rsidRDefault="003B0B24" w:rsidP="003B0B24">
      <w:pPr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bookmarkStart w:id="15" w:name="chuong_3_name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CHUYỂN ĐỔI MỨC HƯỞNG BẢO HIỂM Y TẾ, THANH TOÁN CHI PHÍ KHÁM BỆNH, CHỮA BỆNH BẢO HIỂM Y TẾ CỦA MỘT SỐ ĐỐI TƯỢNG</w:t>
      </w:r>
      <w:bookmarkEnd w:id="15"/>
    </w:p>
    <w:p w14:paraId="0A02EE7E" w14:textId="77777777" w:rsidR="003B0B24" w:rsidRPr="003B0B24" w:rsidRDefault="003B0B24" w:rsidP="003B0B24">
      <w:pPr>
        <w:jc w:val="center"/>
        <w:rPr>
          <w:rFonts w:ascii="Arial" w:hAnsi="Arial" w:cs="Arial"/>
          <w:sz w:val="20"/>
          <w:szCs w:val="20"/>
          <w:lang w:val="vi-VN"/>
        </w:rPr>
      </w:pPr>
    </w:p>
    <w:p w14:paraId="2D84061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16" w:name="dieu_5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5.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tượng</w:t>
      </w:r>
      <w:bookmarkEnd w:id="16"/>
      <w:proofErr w:type="spellEnd"/>
    </w:p>
    <w:p w14:paraId="3CEA10D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tự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ghi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chưa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2, 3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7A9517A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; thân nhân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;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nuôi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dưỡng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44B9D5DC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17" w:name="dc_5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30/2019/TT-BLĐTBXH</w:t>
      </w:r>
      <w:bookmarkEnd w:id="17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26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 năm 2019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- Thương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- Thương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 sau:</w:t>
      </w:r>
    </w:p>
    <w:p w14:paraId="284E3190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căn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- Thương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trung ương;</w:t>
      </w:r>
    </w:p>
    <w:p w14:paraId="5AD03694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Thân nhân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nuôi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dưỡng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căn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- Thương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trung ương;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thân nhân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00CAC0BC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3.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binh:</w:t>
      </w:r>
    </w:p>
    <w:p w14:paraId="7D508E2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xuất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đây:</w:t>
      </w:r>
    </w:p>
    <w:p w14:paraId="166ABEFF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xuất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(thôi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);</w:t>
      </w:r>
    </w:p>
    <w:p w14:paraId="182E04A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yếu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63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quan;</w:t>
      </w:r>
    </w:p>
    <w:p w14:paraId="3874F6C6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quân nhân;</w:t>
      </w:r>
    </w:p>
    <w:p w14:paraId="7A2BD2AF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quân nhân;</w:t>
      </w:r>
    </w:p>
    <w:p w14:paraId="7E3E6BB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Phiếu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quân nhân;</w:t>
      </w:r>
    </w:p>
    <w:p w14:paraId="3BB784A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xuất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(thôi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);</w:t>
      </w:r>
    </w:p>
    <w:p w14:paraId="0A67E80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lastRenderedPageBreak/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đây:</w:t>
      </w:r>
    </w:p>
    <w:p w14:paraId="4F3D690D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500-NĐ/LB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năm 1958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phòng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những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quân nhân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nguyện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ốm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yếu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năng lao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01F3F204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111-NĐ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22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 năm 1957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phòng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những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quân nhân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viên;</w:t>
      </w:r>
    </w:p>
    <w:p w14:paraId="06983236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47/2002/QĐ-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năm 2002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quân nhân, công nhân viên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phòng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thôi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 năm 1960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17CB024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290/2005/QĐ-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08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năm 2005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nhưng chưa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62236B9F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188/2007/QĐ-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06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 năm 2007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290/2005/QĐ-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08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năm 2005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03E49DCD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142/2008/QĐ-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10 năm 2008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quân nhân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dưới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20 năm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quân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xuất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phương;</w:t>
      </w:r>
    </w:p>
    <w:p w14:paraId="748673F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38/2010/QĐ-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06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năm 2010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142/2008/QĐ-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10 năm 2008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651C01A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62/2011/QĐ-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09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năm 2011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ở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Campuchia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giúp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năm 1975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xuất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thôi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7E77662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hưu,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căn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hưu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4597299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c)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đây:</w:t>
      </w:r>
    </w:p>
    <w:p w14:paraId="5323082D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xuất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(thôi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01FD986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yếu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63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quan;</w:t>
      </w:r>
    </w:p>
    <w:p w14:paraId="78CBF95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quân nhân;</w:t>
      </w:r>
    </w:p>
    <w:p w14:paraId="44293D3F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quân nhân;</w:t>
      </w:r>
    </w:p>
    <w:p w14:paraId="7D1F851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Phiếu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quân nhân;</w:t>
      </w:r>
    </w:p>
    <w:p w14:paraId="3D425A3D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nhân viên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phòng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358CB2B3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xuất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71B03D03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d)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hồ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1121A0F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hồ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nhưng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đây:</w:t>
      </w:r>
    </w:p>
    <w:p w14:paraId="5227F2F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61A127D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7E82B786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phong thăng quân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, nâng lương;</w:t>
      </w:r>
    </w:p>
    <w:p w14:paraId="77C78E0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; giao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3D9FC62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khen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khen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đấu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3581C7DF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+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Ủy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nhân dân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18" w:name="dc_6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150/2006/NĐ-CP</w:t>
      </w:r>
      <w:bookmarkEnd w:id="18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 năm 2006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lastRenderedPageBreak/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29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 năm 2006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minh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binh).</w:t>
      </w:r>
    </w:p>
    <w:p w14:paraId="4EDD799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04 năm 1975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gian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đấu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đấu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hồ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binh: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19" w:name="dc_7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 Thông tư liên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01/2012/TTLT-BQP-BLĐTBXH-BTC</w:t>
      </w:r>
      <w:bookmarkEnd w:id="19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01 năm 2012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phòng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- Thương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62/2011/QĐ-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09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năm 2011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ở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Campuchia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giúp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năm 1975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xuất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thôi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binh;</w:t>
      </w:r>
    </w:p>
    <w:p w14:paraId="218EB647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04 năm 1975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gian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đấu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đấu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hồ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nhưng không ghi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rõ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gian,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xảy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sự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gian,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xảy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sự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huy quân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sự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huyện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 cư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3386/LC-CTC-CCS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năm 2012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2084/QĐ-BBTM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09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năm 2012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mưu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gian,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04 năm 1975.</w:t>
      </w:r>
    </w:p>
    <w:p w14:paraId="7AF39782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4.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6E084EA2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Căn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minh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cao hơn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đang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4FBD992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Ông Nguyễn Văn 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quân nhân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Bắc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xuất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năm 1980, sau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ty B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nhóm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80%).</w:t>
      </w:r>
    </w:p>
    <w:p w14:paraId="37A97A8F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Sau khi ông A cung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xuất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cựu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binh. Do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ông 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80% lên 100%,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tỷ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hóa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tư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7BCF906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5.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2, 3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.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ngay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tin.</w:t>
      </w:r>
    </w:p>
    <w:p w14:paraId="64E45C3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20" w:name="dieu_6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6.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đúng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tuyến</w:t>
      </w:r>
      <w:bookmarkEnd w:id="20"/>
      <w:proofErr w:type="spellEnd"/>
    </w:p>
    <w:p w14:paraId="27B2BA3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đúng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gồm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0E9EC313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đúng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ghi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7BAE6360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đăng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phòng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đa khoa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huyện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phòng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đa khoa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huyện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cùng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em chưa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chưa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khai sinh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sinh đi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6C2751E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3.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3B7E312F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đánh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ghi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hồ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chịu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7331B44F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4.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bao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gồm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54DF2B8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21" w:name="dc_8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40/2015/TT-BYT</w:t>
      </w:r>
      <w:bookmarkEnd w:id="21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16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năm 2015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đăng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lastRenderedPageBreak/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Hồ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gồm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Mẫu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kèm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);</w:t>
      </w:r>
    </w:p>
    <w:p w14:paraId="10963C4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22" w:name="dc_9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22"/>
      <w:r w:rsidRPr="002A536C">
        <w:rPr>
          <w:rFonts w:ascii="Arial" w:hAnsi="Arial" w:cs="Arial"/>
          <w:sz w:val="20"/>
          <w:szCs w:val="20"/>
          <w:lang w:val="vi-VN"/>
        </w:rPr>
        <w:t xml:space="preserve">, bao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gồm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; đang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ngoài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 chuyên môn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;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diễn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vượt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năng chuyên môn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đang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ngoại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6E924B66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c)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23" w:name="dc_10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04/2016/TT-BYT</w:t>
      </w:r>
      <w:bookmarkEnd w:id="23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26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02 năm 2016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liên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lao.</w:t>
      </w:r>
    </w:p>
    <w:p w14:paraId="7D637453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5.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minh đang ở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phương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gian đi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lưu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học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trung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đào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chương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đào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cùng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tương đương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đăng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ghi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24" w:name="dc_11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24"/>
      <w:r w:rsidRPr="002A536C">
        <w:rPr>
          <w:rFonts w:ascii="Arial" w:hAnsi="Arial" w:cs="Arial"/>
          <w:sz w:val="20"/>
          <w:szCs w:val="20"/>
          <w:lang w:val="vi-VN"/>
        </w:rPr>
        <w:t xml:space="preserve">.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lưu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hồ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6B72801F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6.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hẹn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25" w:name="dc_12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25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22AA1BB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7.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ngay sau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72F668C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8.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sinh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ngay sau khi sinh ra.</w:t>
      </w:r>
    </w:p>
    <w:p w14:paraId="721EEC64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26" w:name="dieu_7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7. Thanh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người</w:t>
      </w:r>
      <w:bookmarkEnd w:id="26"/>
      <w:proofErr w:type="spellEnd"/>
    </w:p>
    <w:p w14:paraId="275F9E7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ghép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mô,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ngay sau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phẫu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thúc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1A4EB82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không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bởi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nguồn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58FBC593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3.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4DD7799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gửi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27" w:name="dc_13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27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5E60398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10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2C8B8ED7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28" w:name="dieu_8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8.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trong công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tác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chăm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sóc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sức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khỏe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đầu</w:t>
      </w:r>
      <w:bookmarkEnd w:id="28"/>
      <w:proofErr w:type="spellEnd"/>
    </w:p>
    <w:p w14:paraId="00F39AB0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xét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 X-quang,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hoạt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chăm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sóc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khỏe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nghiệp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cơ quan,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doanh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nghiệp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(sau đây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gọi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 chuyên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kiêm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29" w:name="dc_14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29"/>
      <w:r w:rsidRPr="002A536C">
        <w:rPr>
          <w:rFonts w:ascii="Arial" w:hAnsi="Arial" w:cs="Arial"/>
          <w:sz w:val="20"/>
          <w:szCs w:val="20"/>
          <w:lang w:val="vi-VN"/>
        </w:rPr>
        <w:t xml:space="preserve">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đây:</w:t>
      </w:r>
    </w:p>
    <w:p w14:paraId="1C81F77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phân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công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lao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40FFDD3C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thỏa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32D72AF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2.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thỏa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những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yếu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đây:</w:t>
      </w:r>
    </w:p>
    <w:p w14:paraId="03971D2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Bên thuê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kiêm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chăm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sóc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khỏe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(sau đây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gọi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bên thuê): Tên,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;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họ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;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thoại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5745D3C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lastRenderedPageBreak/>
        <w:t xml:space="preserve">b) Bên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kiêm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chăm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sóc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khỏe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(sau đây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gọi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):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Họ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năm sinh,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cư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minh nhân dân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;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thoại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thỏa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tên,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họ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thỏa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2CD97F9C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c)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dung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gian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gian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bên thuê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tự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thỏa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2F015E1D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d)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thỏa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(theo năm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năm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học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);</w:t>
      </w:r>
    </w:p>
    <w:p w14:paraId="62843B3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đ) Cam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bên thuê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tự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chịu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thỏa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05E0FEDC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3.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thỏa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kiêm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chăm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sóc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khỏe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đây:</w:t>
      </w:r>
    </w:p>
    <w:p w14:paraId="239DE8C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cùng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cơ quan,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đặt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7BF8169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đăng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cơ quan,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đặt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đăng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giờ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cơ quan,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đặt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7787D28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30" w:name="dieu_9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9.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sàng</w:t>
      </w:r>
      <w:bookmarkEnd w:id="30"/>
      <w:proofErr w:type="spellEnd"/>
    </w:p>
    <w:p w14:paraId="30A49B6D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nguyên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tắc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yêu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chuyên môn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đảm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 sau:</w:t>
      </w:r>
    </w:p>
    <w:p w14:paraId="35EB6D5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phê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duyệt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đang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23CEFDD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phê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duyệt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cần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thiết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hoạt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chuyên môn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chẩn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tuyến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huyện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lên.</w:t>
      </w:r>
    </w:p>
    <w:p w14:paraId="56ED33BD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năng,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hoạt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chuyên môn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phê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duyệt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cần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gửi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hai bên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64E6C58E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mẫu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phê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duyệt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nguyên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tắc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).</w:t>
      </w:r>
    </w:p>
    <w:p w14:paraId="0435C802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3.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mẫu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mẫu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thứ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).</w:t>
      </w:r>
    </w:p>
    <w:p w14:paraId="1E46AC07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4.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hóa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18423DF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mẫu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(sau đây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gọi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tắt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hóa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 sau: XX.YYYY.ZZZZ.K.WWWWW,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40501A20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XX.YYYY.ZZZZ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5C071EF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K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tự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ở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183B74F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c) WWWWW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tự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3C033160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5.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6189FD33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lastRenderedPageBreak/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31" w:name="dc_15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31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mẫu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nhưng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vượt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13/2019/TT-BYT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7 năm 2019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39/2018/TT-BYT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năm 2018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cùng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quốc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05C378C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cùng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lần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lần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36FC34D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thu thêm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0483125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32" w:name="dieu_10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10.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ứng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thông tin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, thanh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hợp</w:t>
      </w:r>
      <w:bookmarkEnd w:id="32"/>
      <w:proofErr w:type="spellEnd"/>
    </w:p>
    <w:p w14:paraId="33625F7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sau khi sinh ra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nhưng chưa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chưa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khai sinh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 sau:</w:t>
      </w:r>
    </w:p>
    <w:p w14:paraId="5FF5B20C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Ghi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gồm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dung:</w:t>
      </w:r>
    </w:p>
    <w:p w14:paraId="6FBC5152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ghi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TE;</w:t>
      </w:r>
    </w:p>
    <w:p w14:paraId="2688A443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ghi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1;</w:t>
      </w:r>
    </w:p>
    <w:p w14:paraId="6312605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trung ương: ghi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124/2004/QĐ-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08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7 năm 2004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Nam (sau đây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gọi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124/2004/QĐ-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đặt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sinh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bỏ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53073782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ghi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2153/QĐ-BYT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năm 2020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(sau đây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gọi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2153/QĐ-BYT).</w:t>
      </w:r>
    </w:p>
    <w:p w14:paraId="56E955C2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em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hóa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 sau: TE101,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(10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).</w:t>
      </w:r>
    </w:p>
    <w:p w14:paraId="508BE40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ghi tên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hồ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sinh chưa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họ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 sau:</w:t>
      </w:r>
    </w:p>
    <w:p w14:paraId="21B766E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sinh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cha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): ghi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họ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cha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);</w:t>
      </w:r>
    </w:p>
    <w:p w14:paraId="13F3E358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sinh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cha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 nhưng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ghi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họ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0E6573A0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sơ sinh không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bỏ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ghi tên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đang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65116DA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nhưng chưa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đảm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 sau:</w:t>
      </w:r>
    </w:p>
    <w:p w14:paraId="68A7B5A4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ghi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HG;</w:t>
      </w:r>
    </w:p>
    <w:p w14:paraId="04F053F6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ghi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4;</w:t>
      </w:r>
    </w:p>
    <w:p w14:paraId="12D1AFC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c)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trung ương: ghi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124/2004/QĐ-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TTg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mô,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1150391C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d)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ghi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2153/QĐ-BYT.</w:t>
      </w:r>
    </w:p>
    <w:p w14:paraId="4DABB147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: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mô,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đang cư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trú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hóa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 sau: HG401,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(10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).</w:t>
      </w:r>
    </w:p>
    <w:p w14:paraId="4EBCBCE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lastRenderedPageBreak/>
        <w:t xml:space="preserve">3.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gửi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những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bằng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;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tượng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mẫu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C79-HD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kèm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102/2018/TT-BTC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11 năm 2018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chính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39A8723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bookmarkStart w:id="33" w:name="dieu_11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11.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Khóa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chấm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dứt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ngay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lực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sử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tế</w:t>
      </w:r>
      <w:bookmarkEnd w:id="33"/>
      <w:proofErr w:type="spellEnd"/>
    </w:p>
    <w:p w14:paraId="0E318E1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khóa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chấm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dứt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ngay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vong như sau:</w:t>
      </w:r>
    </w:p>
    <w:p w14:paraId="1E246BA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ngay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khóa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chấm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dứt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bằng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22 (KET_QUA_DTRI)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kèm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4210/QĐ-BYT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9 năm 2017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chuẩn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Cổng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7642F66D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ngoài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ngay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khóa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chấm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dứt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vong do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Ủy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nhân dân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01F4B11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2. Khi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Cổng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Ủy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nhân dân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sinh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như sau:</w:t>
      </w:r>
    </w:p>
    <w:p w14:paraId="233B15E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34" w:name="dc_16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09/2019/TT-BYT</w:t>
      </w:r>
      <w:bookmarkEnd w:id="34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 năm 2019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lỗi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Ủy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nhân dân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sai;</w:t>
      </w:r>
    </w:p>
    <w:p w14:paraId="2CC30DA4" w14:textId="77777777" w:rsidR="003B0B24" w:rsidRPr="003B0B24" w:rsidRDefault="003B0B24" w:rsidP="003B0B24">
      <w:pPr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Quỹ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không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sinh khi thân nhân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vong;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nước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xem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xét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nhân vi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51EF2033" w14:textId="77777777" w:rsidR="003B0B24" w:rsidRPr="002A536C" w:rsidRDefault="003B0B24" w:rsidP="003B0B24">
      <w:pPr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bookmarkStart w:id="35" w:name="chuong_4"/>
    </w:p>
    <w:p w14:paraId="5DB31347" w14:textId="77777777" w:rsidR="003B0B24" w:rsidRPr="003B0B24" w:rsidRDefault="003B0B24" w:rsidP="003B0B24">
      <w:pPr>
        <w:jc w:val="center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Chương IV</w:t>
      </w:r>
      <w:bookmarkEnd w:id="35"/>
    </w:p>
    <w:p w14:paraId="39F760F6" w14:textId="77777777" w:rsidR="003B0B24" w:rsidRPr="002A536C" w:rsidRDefault="003B0B24" w:rsidP="003B0B24">
      <w:pPr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bookmarkStart w:id="36" w:name="chuong_4_name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 KHOẢN THI HÀNH</w:t>
      </w:r>
      <w:bookmarkEnd w:id="36"/>
    </w:p>
    <w:p w14:paraId="624F92DC" w14:textId="77777777" w:rsidR="003B0B24" w:rsidRPr="003B0B24" w:rsidRDefault="003B0B24" w:rsidP="003B0B24">
      <w:pPr>
        <w:jc w:val="center"/>
        <w:rPr>
          <w:rFonts w:ascii="Arial" w:hAnsi="Arial" w:cs="Arial"/>
          <w:sz w:val="20"/>
          <w:szCs w:val="20"/>
          <w:lang w:val="vi-VN"/>
        </w:rPr>
      </w:pPr>
    </w:p>
    <w:p w14:paraId="21C1E56E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37" w:name="dieu_12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12.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lực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thi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hành</w:t>
      </w:r>
      <w:bookmarkEnd w:id="37"/>
      <w:proofErr w:type="spellEnd"/>
    </w:p>
    <w:p w14:paraId="268B68D5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01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 năm 2021.</w:t>
      </w:r>
    </w:p>
    <w:p w14:paraId="4D416BE0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38" w:name="khoan_2_12"/>
      <w:r w:rsidRPr="002A536C">
        <w:rPr>
          <w:rFonts w:ascii="Arial" w:hAnsi="Arial" w:cs="Arial"/>
          <w:sz w:val="20"/>
          <w:szCs w:val="20"/>
          <w:lang w:val="vi-VN"/>
        </w:rPr>
        <w:t>2.</w:t>
      </w:r>
      <w:bookmarkEnd w:id="38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39" w:name="dc_17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09/2019/TT-BYT</w:t>
      </w:r>
      <w:bookmarkEnd w:id="39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40" w:name="khoan_2_12_name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10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6 năm 2019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thẩm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dịch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lâm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sàng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từ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  <w:bookmarkEnd w:id="40"/>
    </w:p>
    <w:p w14:paraId="61D44890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41" w:name="dieu_13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13.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tham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chiếu</w:t>
      </w:r>
      <w:bookmarkEnd w:id="41"/>
      <w:proofErr w:type="spellEnd"/>
    </w:p>
    <w:p w14:paraId="27F0B480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Trường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chiếu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văn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sung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58495376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bookmarkStart w:id="42" w:name="dieu_14"/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14.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b/>
          <w:bCs/>
          <w:sz w:val="20"/>
          <w:szCs w:val="20"/>
          <w:lang w:val="vi-VN"/>
        </w:rPr>
        <w:t xml:space="preserve"> thi </w:t>
      </w:r>
      <w:proofErr w:type="spellStart"/>
      <w:r w:rsidRPr="002A536C">
        <w:rPr>
          <w:rFonts w:ascii="Arial" w:hAnsi="Arial" w:cs="Arial"/>
          <w:b/>
          <w:bCs/>
          <w:sz w:val="20"/>
          <w:szCs w:val="20"/>
          <w:lang w:val="vi-VN"/>
        </w:rPr>
        <w:t>hành</w:t>
      </w:r>
      <w:bookmarkEnd w:id="42"/>
      <w:proofErr w:type="spellEnd"/>
    </w:p>
    <w:p w14:paraId="1013C237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Ủy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nhân dân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610E847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lastRenderedPageBreak/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kịp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khăn,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mắc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vụ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04FD4DFC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Ủy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ban nhân dân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vong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kê khai ngay khi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giấy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04A57439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Nam:</w:t>
      </w:r>
    </w:p>
    <w:p w14:paraId="5A68609C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dẫn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do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đổi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5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thẻ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714F1976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Nâng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công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nghệ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nhằm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đảm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0290A714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Tuân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đầy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đúng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146/2018/NĐ-CP,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48/2017/TT-BYT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28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12 năm 2017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trích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chuyển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dữ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liệu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toán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trưởng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02664A44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tự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động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danh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2153/QĐ-BYT;</w:t>
      </w:r>
    </w:p>
    <w:p w14:paraId="293BB553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- Duy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tiếp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nhận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khai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dụng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hồi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kịp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cho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tin liên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gian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05 (năm) năm liên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tục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tiền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cùng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chi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phí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cùng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một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năm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lớn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hơn 06 (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sáu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tháng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lương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43" w:name="dc_18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3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27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43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72A7F87A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3.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trung ương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30F455E2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cấp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biến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chỉ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đạo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trên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bàn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hoặc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quyền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người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tham gia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theo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;</w:t>
      </w:r>
    </w:p>
    <w:p w14:paraId="288F98CB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trì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thành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thuộc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trung ương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thống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việc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tỉnh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ranh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bookmarkStart w:id="44" w:name="dc_19"/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khoản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Điều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</w:t>
      </w:r>
      <w:bookmarkEnd w:id="44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27E5677C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4.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Trách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nhiệm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sở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:</w:t>
      </w:r>
    </w:p>
    <w:p w14:paraId="26BFBB51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Phối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với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xã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hội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nơi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ký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hợp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đồng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đúng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đủ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của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pháp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khám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chữa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bệnh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Luật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bảo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hiểm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số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146/2018/NĐ-CP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và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quy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định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tại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Thông tư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</w:t>
      </w:r>
    </w:p>
    <w:p w14:paraId="2481DFE7" w14:textId="77777777" w:rsidR="003B0B24" w:rsidRPr="003B0B24" w:rsidRDefault="003B0B24" w:rsidP="003B0B24">
      <w:pPr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 xml:space="preserve">Trong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trình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thực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hiện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nếu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có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vướng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mắc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bất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cập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nghị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cơ quan, đơn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vị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tổ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chức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,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cá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nhân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phản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ánh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kịp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thời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về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Bộ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Y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tế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để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được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xem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xét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giải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2A536C">
        <w:rPr>
          <w:rFonts w:ascii="Arial" w:hAnsi="Arial" w:cs="Arial"/>
          <w:sz w:val="20"/>
          <w:szCs w:val="20"/>
          <w:lang w:val="vi-VN"/>
        </w:rPr>
        <w:t>quyết</w:t>
      </w:r>
      <w:proofErr w:type="spellEnd"/>
      <w:r w:rsidRPr="002A536C">
        <w:rPr>
          <w:rFonts w:ascii="Arial" w:hAnsi="Arial" w:cs="Arial"/>
          <w:sz w:val="20"/>
          <w:szCs w:val="20"/>
          <w:lang w:val="vi-VN"/>
        </w:rPr>
        <w:t>./.</w:t>
      </w:r>
    </w:p>
    <w:p w14:paraId="257773B7" w14:textId="77777777" w:rsidR="003B0B24" w:rsidRPr="003B0B24" w:rsidRDefault="003B0B24" w:rsidP="003B0B24">
      <w:pPr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2A536C">
        <w:rPr>
          <w:rFonts w:ascii="Arial" w:hAnsi="Arial" w:cs="Arial"/>
          <w:sz w:val="20"/>
          <w:szCs w:val="20"/>
          <w:lang w:val="vi-VN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262"/>
      </w:tblGrid>
      <w:tr w:rsidR="003B0B24" w:rsidRPr="003B0B24" w14:paraId="794ABE67" w14:textId="77777777" w:rsidTr="00325F46">
        <w:tc>
          <w:tcPr>
            <w:tcW w:w="4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024D" w14:textId="77777777" w:rsidR="003B0B24" w:rsidRPr="003B0B24" w:rsidRDefault="003B0B24" w:rsidP="00325F46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2A53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 xml:space="preserve">Nơi </w:t>
            </w:r>
            <w:proofErr w:type="spellStart"/>
            <w:r w:rsidRPr="002A53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nhận</w:t>
            </w:r>
            <w:proofErr w:type="spellEnd"/>
            <w:r w:rsidRPr="002A53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:</w:t>
            </w:r>
            <w:r w:rsidRPr="002A53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Ủy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ban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về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các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vấn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đề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xã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hội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của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Quốc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hội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(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để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báo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cáo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);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PTTgCP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.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Vũ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Đức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Đam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(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để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báo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cáo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);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Bộ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trưởng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(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để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báo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cáo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);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Các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Thứ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trưởng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(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để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phối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hợp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chỉ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đạo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);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Văn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phòng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Chính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phủ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(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Vụ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KGVX, Công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báo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Cổng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TTĐT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Chính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phủ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);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Bộ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Tư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pháp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(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Cục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Kiểm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tra văn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bản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quy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phạm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pháp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luật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);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Các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Bộ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: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Tài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chính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; Lao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động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- Thương binh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và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Xã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hội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;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Giáo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dục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và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Đào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tạo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Bảo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hiểm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xã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hội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Việt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Nam;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UBND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các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tỉnh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thành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phố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trực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thuộc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TW;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Các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đơn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vị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thuộc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trực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thuộc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Bộ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Y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tế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Sở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Y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tế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các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tỉnh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thành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phố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trực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thuộc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TW;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Y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tế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các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Bộ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ngành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lastRenderedPageBreak/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Hiệp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hội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Bệnh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viện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tư nhân;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Cổng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Thông tin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điện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tử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Bộ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 xml:space="preserve"> Y </w:t>
            </w:r>
            <w:proofErr w:type="spellStart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tế</w:t>
            </w:r>
            <w:proofErr w:type="spellEnd"/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t>;</w:t>
            </w:r>
            <w:r w:rsidRPr="002A536C">
              <w:rPr>
                <w:rFonts w:ascii="Arial" w:hAnsi="Arial" w:cs="Arial"/>
                <w:sz w:val="20"/>
                <w:szCs w:val="20"/>
                <w:lang w:val="vi-VN"/>
              </w:rPr>
              <w:br/>
              <w:t>- Lưu: VT, PC, BH (05).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4778" w14:textId="77777777" w:rsidR="003B0B24" w:rsidRPr="003B0B24" w:rsidRDefault="003B0B24" w:rsidP="00325F46">
            <w:pPr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lastRenderedPageBreak/>
              <w:t>KT. BỘ TRƯỞNG</w:t>
            </w: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THỨ TRƯỞNG</w:t>
            </w: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 xml:space="preserve">Nguyễn </w:t>
            </w:r>
            <w:proofErr w:type="spellStart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Trường</w:t>
            </w:r>
            <w:proofErr w:type="spellEnd"/>
            <w:r w:rsidRPr="002A53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Sơn</w:t>
            </w:r>
          </w:p>
        </w:tc>
      </w:tr>
    </w:tbl>
    <w:p w14:paraId="43776044" w14:textId="77777777" w:rsidR="003B0B24" w:rsidRPr="003B0B24" w:rsidRDefault="003B0B24" w:rsidP="003B0B2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3B0B24">
        <w:rPr>
          <w:rFonts w:ascii="Arial" w:hAnsi="Arial" w:cs="Arial"/>
          <w:b/>
          <w:bCs/>
          <w:sz w:val="20"/>
          <w:szCs w:val="20"/>
          <w:lang w:val="vi-VN"/>
        </w:rPr>
        <w:t> </w:t>
      </w:r>
    </w:p>
    <w:p w14:paraId="150DC003" w14:textId="77777777" w:rsidR="005C76C3" w:rsidRPr="003B0B24" w:rsidRDefault="005C76C3" w:rsidP="003B0B24">
      <w:pPr>
        <w:rPr>
          <w:lang w:val="vi-VN"/>
        </w:rPr>
      </w:pPr>
    </w:p>
    <w:sectPr w:rsidR="005C76C3" w:rsidRPr="003B0B24" w:rsidSect="001E06DA">
      <w:footerReference w:type="default" r:id="rId5"/>
      <w:pgSz w:w="11906" w:h="16838" w:code="9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EB71" w14:textId="34BD6491" w:rsidR="003D6619" w:rsidRDefault="003B0B24">
    <w:pPr>
      <w:pStyle w:val="Chntrang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24"/>
    <w:rsid w:val="003B0B24"/>
    <w:rsid w:val="005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5E173E"/>
  <w15:chartTrackingRefBased/>
  <w15:docId w15:val="{8645387D-D745-44BA-BAEB-07D9E33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rsid w:val="003B0B24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3B0B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1B11-74D0-4983-B33E-09ED0BF3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4829</Words>
  <Characters>27529</Characters>
  <Application>Microsoft Office Word</Application>
  <DocSecurity>0</DocSecurity>
  <Lines>229</Lines>
  <Paragraphs>64</Paragraphs>
  <ScaleCrop>false</ScaleCrop>
  <Company/>
  <LinksUpToDate>false</LinksUpToDate>
  <CharactersWithSpaces>32294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2021-07-23T14:29:00Z</dcterms:created>
  <dcterms:modified xsi:type="dcterms:W3CDTF">2021-07-23T14:30:00Z</dcterms:modified>
</cp:coreProperties>
</file>