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6271"/>
      </w:tblGrid>
      <w:tr w:rsidR="00F26CD6" w:rsidRPr="00180120" w14:paraId="1FECCB79" w14:textId="77777777" w:rsidTr="006343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7032C" w14:textId="77777777" w:rsidR="00F26CD6" w:rsidRPr="00180120" w:rsidRDefault="00F26CD6" w:rsidP="0063438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180120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CHÍNH PHỦ</w:t>
            </w:r>
          </w:p>
          <w:p w14:paraId="45E15D5D" w14:textId="77777777" w:rsidR="00F26CD6" w:rsidRPr="00180120" w:rsidRDefault="00F26CD6" w:rsidP="0063438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</w:pPr>
            <w:r w:rsidRPr="00180120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  <w:t>______</w:t>
            </w:r>
          </w:p>
          <w:p w14:paraId="71C7A355" w14:textId="77777777" w:rsidR="00F26CD6" w:rsidRPr="00180120" w:rsidRDefault="00F26CD6" w:rsidP="0063438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120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180120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: 10/2021/NĐ-CP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1D8F6" w14:textId="77777777" w:rsidR="00F26CD6" w:rsidRPr="00180120" w:rsidRDefault="00F26CD6" w:rsidP="0063438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180120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HOÀ XÃ HỘI CHỦ NGHĨA VIỆT NAM</w:t>
            </w:r>
          </w:p>
          <w:p w14:paraId="177D0A32" w14:textId="77777777" w:rsidR="00F26CD6" w:rsidRPr="00180120" w:rsidRDefault="00F26CD6" w:rsidP="0063438D">
            <w:pPr>
              <w:pStyle w:val="Tablecaption0"/>
              <w:shd w:val="clear" w:color="auto" w:fill="auto"/>
              <w:jc w:val="center"/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- </w:t>
            </w:r>
            <w:proofErr w:type="spellStart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Tablecaption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14:paraId="32FCD5D0" w14:textId="77777777" w:rsidR="00F26CD6" w:rsidRPr="00C9437C" w:rsidRDefault="00F26CD6" w:rsidP="0063438D">
            <w:pPr>
              <w:pStyle w:val="Tablecaption0"/>
              <w:shd w:val="clear" w:color="auto" w:fill="auto"/>
              <w:jc w:val="center"/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</w:pPr>
            <w:r w:rsidRPr="00180120">
              <w:rPr>
                <w:rStyle w:val="Tablecaption"/>
                <w:rFonts w:ascii="Arial" w:hAnsi="Arial" w:cs="Arial"/>
                <w:color w:val="000000"/>
                <w:sz w:val="20"/>
                <w:szCs w:val="20"/>
                <w:lang w:eastAsia="vi-VN"/>
              </w:rPr>
              <w:t>___________________</w:t>
            </w:r>
            <w:r w:rsidRPr="00C9437C">
              <w:rPr>
                <w:rStyle w:val="Tablecaption"/>
                <w:rFonts w:ascii="Arial" w:hAnsi="Arial" w:cs="Arial"/>
                <w:color w:val="000000"/>
                <w:sz w:val="20"/>
                <w:szCs w:val="20"/>
                <w:lang w:eastAsia="vi-VN"/>
              </w:rPr>
              <w:t>_____</w:t>
            </w:r>
          </w:p>
          <w:p w14:paraId="28A36880" w14:textId="77777777" w:rsidR="00F26CD6" w:rsidRPr="00180120" w:rsidRDefault="00F26CD6" w:rsidP="0063438D">
            <w:pPr>
              <w:pStyle w:val="Other0"/>
              <w:shd w:val="clear" w:color="auto" w:fill="auto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Hà</w:t>
            </w:r>
            <w:proofErr w:type="spellEnd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Nội</w:t>
            </w:r>
            <w:proofErr w:type="spellEnd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09 </w:t>
            </w:r>
            <w:proofErr w:type="spellStart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180120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02 năm 2021</w:t>
            </w:r>
          </w:p>
        </w:tc>
      </w:tr>
    </w:tbl>
    <w:p w14:paraId="5A4693AF" w14:textId="77777777" w:rsidR="00F26CD6" w:rsidRPr="00180120" w:rsidRDefault="00F26CD6" w:rsidP="00F26CD6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09C794A" w14:textId="77777777" w:rsidR="00F26CD6" w:rsidRPr="00180120" w:rsidRDefault="00F26CD6" w:rsidP="00F26CD6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DE5E81E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NGHỊ ĐỊNH</w:t>
      </w:r>
    </w:p>
    <w:p w14:paraId="2806B7BE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bookmark0"/>
      <w:bookmarkStart w:id="1" w:name="bookmark1"/>
      <w:proofErr w:type="spellStart"/>
      <w:r w:rsidRPr="00C9437C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V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ề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bookmarkEnd w:id="0"/>
      <w:bookmarkEnd w:id="1"/>
      <w:proofErr w:type="spellEnd"/>
    </w:p>
    <w:p w14:paraId="24C3BCC8" w14:textId="77777777" w:rsidR="00F26CD6" w:rsidRPr="00C9437C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Cs/>
          <w:color w:val="000000"/>
          <w:sz w:val="20"/>
          <w:szCs w:val="20"/>
          <w:lang w:eastAsia="vi-VN"/>
        </w:rPr>
      </w:pPr>
      <w:r w:rsidRPr="00C9437C">
        <w:rPr>
          <w:rStyle w:val="Heading1"/>
          <w:rFonts w:ascii="Arial" w:hAnsi="Arial" w:cs="Arial"/>
          <w:bCs/>
          <w:color w:val="000000"/>
          <w:sz w:val="20"/>
          <w:szCs w:val="20"/>
          <w:lang w:eastAsia="vi-VN"/>
        </w:rPr>
        <w:t>_________________</w:t>
      </w:r>
    </w:p>
    <w:p w14:paraId="042E0673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4BA0952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19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6 năm 2015;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22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11 năm 2019;</w:t>
      </w:r>
    </w:p>
    <w:p w14:paraId="20047AB0" w14:textId="77777777" w:rsidR="00F26CD6" w:rsidRPr="00C9437C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18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6 năm 2014;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17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6 năm 2020;</w:t>
      </w:r>
      <w:r w:rsidRPr="00C9437C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</w:p>
    <w:p w14:paraId="66E37AFE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6 năm 2020;</w:t>
      </w:r>
    </w:p>
    <w:p w14:paraId="3FF23FEF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tư công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13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6 năm 2019;</w:t>
      </w:r>
    </w:p>
    <w:p w14:paraId="4B8B8F9C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tư theo phương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công tư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18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6 năm 2020;</w:t>
      </w:r>
    </w:p>
    <w:p w14:paraId="44114111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Đấu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26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11 năm 2013;</w:t>
      </w:r>
    </w:p>
    <w:p w14:paraId="64FA0A81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Theo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;</w:t>
      </w:r>
    </w:p>
    <w:p w14:paraId="6771F531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i/>
          <w:iCs/>
          <w:color w:val="000000"/>
          <w:sz w:val="20"/>
          <w:szCs w:val="20"/>
          <w:lang w:eastAsia="vi-VN"/>
        </w:rPr>
        <w:t>.</w:t>
      </w:r>
    </w:p>
    <w:p w14:paraId="19D83C15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1785BEF5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 I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QUY ĐỊNH CH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U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</w:p>
    <w:p w14:paraId="00FB81DE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BB1D25A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chỉnh</w:t>
      </w:r>
      <w:proofErr w:type="spellEnd"/>
    </w:p>
    <w:p w14:paraId="7FDFA314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</w:pPr>
      <w:r w:rsidRPr="00C9437C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tư (sau đây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gọi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1804082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9437C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gọi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ODA),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vay ưu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thỏa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ODA,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vay ưu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ODA,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vay ưu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0379A02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tượng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dụng</w:t>
      </w:r>
      <w:proofErr w:type="spellEnd"/>
    </w:p>
    <w:p w14:paraId="201C3650" w14:textId="77777777" w:rsidR="00F26CD6" w:rsidRPr="00180120" w:rsidRDefault="00F26CD6" w:rsidP="00F26CD6">
      <w:pPr>
        <w:pStyle w:val="ThnVnban"/>
        <w:shd w:val="clear" w:color="auto" w:fill="auto"/>
        <w:tabs>
          <w:tab w:val="left" w:pos="8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9437C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PPP.</w:t>
      </w:r>
    </w:p>
    <w:p w14:paraId="755C7101" w14:textId="77777777" w:rsidR="00F26CD6" w:rsidRPr="00180120" w:rsidRDefault="00F26CD6" w:rsidP="00F26CD6">
      <w:pPr>
        <w:pStyle w:val="ThnVnban"/>
        <w:shd w:val="clear" w:color="auto" w:fill="auto"/>
        <w:tabs>
          <w:tab w:val="left" w:pos="8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9437C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6681A50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3. Nguyên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tắc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12C65F15" w14:textId="77777777" w:rsidR="00F26CD6" w:rsidRPr="00180120" w:rsidRDefault="00F26CD6" w:rsidP="00F26CD6">
      <w:pPr>
        <w:pStyle w:val="ThnVnban"/>
        <w:shd w:val="clear" w:color="auto" w:fill="auto"/>
        <w:tabs>
          <w:tab w:val="left" w:pos="87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9437C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5F3A7162" w14:textId="77777777" w:rsidR="00F26CD6" w:rsidRPr="00180120" w:rsidRDefault="00F26CD6" w:rsidP="00F26CD6">
      <w:pPr>
        <w:pStyle w:val="ThnVnban"/>
        <w:shd w:val="clear" w:color="auto" w:fill="auto"/>
        <w:tabs>
          <w:tab w:val="left" w:pos="88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rõ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01CA4C0" w14:textId="77777777" w:rsidR="00F26CD6" w:rsidRPr="00180120" w:rsidRDefault="00F26CD6" w:rsidP="00F26CD6">
      <w:pPr>
        <w:pStyle w:val="ThnVnban"/>
        <w:shd w:val="clear" w:color="auto" w:fill="auto"/>
        <w:tabs>
          <w:tab w:val="left" w:pos="8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ầ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bóc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5E94605" w14:textId="77777777" w:rsidR="00F26CD6" w:rsidRPr="00180120" w:rsidRDefault="00F26CD6" w:rsidP="00F26CD6">
      <w:pPr>
        <w:pStyle w:val="ThnVnban"/>
        <w:shd w:val="clear" w:color="auto" w:fill="auto"/>
        <w:tabs>
          <w:tab w:val="left" w:pos="87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13019B7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an ninh,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an.</w:t>
      </w:r>
    </w:p>
    <w:p w14:paraId="4D574A89" w14:textId="77777777" w:rsidR="00F26CD6" w:rsidRPr="00180120" w:rsidRDefault="00F26CD6" w:rsidP="00F26CD6">
      <w:pPr>
        <w:pStyle w:val="ThnVnban"/>
        <w:shd w:val="clear" w:color="auto" w:fill="auto"/>
        <w:tabs>
          <w:tab w:val="left" w:pos="89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tiêu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8D3476E" w14:textId="77777777" w:rsidR="00F26CD6" w:rsidRPr="00180120" w:rsidRDefault="00F26CD6" w:rsidP="00F26CD6">
      <w:pPr>
        <w:pStyle w:val="ThnVnban"/>
        <w:shd w:val="clear" w:color="auto" w:fill="auto"/>
        <w:tabs>
          <w:tab w:val="left" w:pos="893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C6822BF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5209E6C8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 II</w:t>
      </w:r>
    </w:p>
    <w:p w14:paraId="60E767FD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Ơ BỘ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TỔNG MỨC ĐẦU TƯ XÂY DỰNG,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TỔNG MỨC ĐẦU TƯ XÂY DỰNG</w:t>
      </w:r>
    </w:p>
    <w:p w14:paraId="288D2CE1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FF70A8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4491AA5B" w14:textId="77777777" w:rsidR="00F26CD6" w:rsidRPr="00180120" w:rsidRDefault="00F26CD6" w:rsidP="00F26CD6">
      <w:pPr>
        <w:pStyle w:val="ThnVnban"/>
        <w:shd w:val="clear" w:color="auto" w:fill="auto"/>
        <w:tabs>
          <w:tab w:val="left" w:pos="89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3415048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mô,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quy mô,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BB1B13A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kinh doanh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0AE8B419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5.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1C51D523" w14:textId="77777777" w:rsidR="00F26CD6" w:rsidRPr="00180120" w:rsidRDefault="00F26CD6" w:rsidP="00F26CD6">
      <w:pPr>
        <w:pStyle w:val="ThnVnban"/>
        <w:shd w:val="clear" w:color="auto" w:fill="auto"/>
        <w:tabs>
          <w:tab w:val="left" w:pos="8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A6A6015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thể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như sau:</w:t>
      </w:r>
    </w:p>
    <w:p w14:paraId="2DF4BA3B" w14:textId="77777777" w:rsidR="00F26CD6" w:rsidRPr="00180120" w:rsidRDefault="00F26CD6" w:rsidP="00F26CD6">
      <w:pPr>
        <w:pStyle w:val="ThnVnban"/>
        <w:shd w:val="clear" w:color="auto" w:fill="auto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gắn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tầng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phóng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2099308B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phóng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cư;</w:t>
      </w:r>
    </w:p>
    <w:p w14:paraId="2FE8066F" w14:textId="77777777" w:rsidR="00F26CD6" w:rsidRPr="00180120" w:rsidRDefault="00F26CD6" w:rsidP="00F26CD6">
      <w:pPr>
        <w:pStyle w:val="ThnVnban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c)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sắm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sắm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mềm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lắp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34BA42B" w14:textId="77777777" w:rsidR="00F26CD6" w:rsidRPr="00180120" w:rsidRDefault="00F26CD6" w:rsidP="00F26CD6">
      <w:pPr>
        <w:pStyle w:val="ThnVnban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đoạn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đưa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7E5E947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đoạn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đưa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0A3312C0" w14:textId="77777777" w:rsidR="00F26CD6" w:rsidRPr="00180120" w:rsidRDefault="00F26CD6" w:rsidP="00F26CD6">
      <w:pPr>
        <w:pStyle w:val="ThnVnban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e)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bom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khỏi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thông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tầng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ảnh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bao che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móng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lắp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đăng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khoa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học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lưu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nhằm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doanh,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vay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tế-kỹ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nguyên,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 xml:space="preserve">a,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b, c, d, đ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4630DF0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g)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yếu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71AA740" w14:textId="77777777" w:rsidR="00F26CD6" w:rsidRPr="00180120" w:rsidRDefault="00F26CD6" w:rsidP="00F26CD6">
      <w:pPr>
        <w:pStyle w:val="ThnVnban"/>
        <w:shd w:val="clear" w:color="auto" w:fill="auto"/>
        <w:tabs>
          <w:tab w:val="left" w:pos="91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chung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48F0DC7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6.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5F1068BA" w14:textId="77777777" w:rsidR="00F26CD6" w:rsidRPr="00180120" w:rsidRDefault="00F26CD6" w:rsidP="00F26CD6">
      <w:pPr>
        <w:pStyle w:val="ThnVnban"/>
        <w:shd w:val="clear" w:color="auto" w:fill="auto"/>
        <w:tabs>
          <w:tab w:val="left" w:pos="91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sau:</w:t>
      </w:r>
    </w:p>
    <w:p w14:paraId="138E94D2" w14:textId="77777777" w:rsidR="00F26CD6" w:rsidRPr="00180120" w:rsidRDefault="00F26CD6" w:rsidP="00F26CD6">
      <w:pPr>
        <w:pStyle w:val="ThnVnban"/>
        <w:shd w:val="clear" w:color="auto" w:fill="auto"/>
        <w:tabs>
          <w:tab w:val="left" w:pos="92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FEFE952" w14:textId="77777777" w:rsidR="00F26CD6" w:rsidRPr="00180120" w:rsidRDefault="00F26CD6" w:rsidP="00F26CD6">
      <w:pPr>
        <w:pStyle w:val="ThnVnban"/>
        <w:shd w:val="clear" w:color="auto" w:fill="auto"/>
        <w:tabs>
          <w:tab w:val="left" w:pos="96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11D6CF00" w14:textId="77777777" w:rsidR="00F26CD6" w:rsidRPr="00180120" w:rsidRDefault="00F26CD6" w:rsidP="00F26CD6">
      <w:pPr>
        <w:pStyle w:val="ThnVnban"/>
        <w:shd w:val="clear" w:color="auto" w:fill="auto"/>
        <w:tabs>
          <w:tab w:val="left" w:pos="94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8CFEF2A" w14:textId="77777777" w:rsidR="00F26CD6" w:rsidRPr="00180120" w:rsidRDefault="00F26CD6" w:rsidP="00F26CD6">
      <w:pPr>
        <w:pStyle w:val="ThnVnban"/>
        <w:shd w:val="clear" w:color="auto" w:fill="auto"/>
        <w:tabs>
          <w:tab w:val="left" w:pos="96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 xml:space="preserve">a,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b, c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C1718FD" w14:textId="77777777" w:rsidR="00F26CD6" w:rsidRPr="00180120" w:rsidRDefault="00F26CD6" w:rsidP="00F26CD6">
      <w:pPr>
        <w:pStyle w:val="ThnVnban"/>
        <w:shd w:val="clear" w:color="auto" w:fill="auto"/>
        <w:tabs>
          <w:tab w:val="left" w:pos="91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D269020" w14:textId="77777777" w:rsidR="00F26CD6" w:rsidRPr="00180120" w:rsidRDefault="00F26CD6" w:rsidP="00F26CD6">
      <w:pPr>
        <w:pStyle w:val="ThnVnban"/>
        <w:shd w:val="clear" w:color="auto" w:fill="auto"/>
        <w:tabs>
          <w:tab w:val="left" w:pos="90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4B74233F" w14:textId="77777777" w:rsidR="00F26CD6" w:rsidRPr="00180120" w:rsidRDefault="00F26CD6" w:rsidP="00F26CD6">
      <w:pPr>
        <w:pStyle w:val="ThnVnban"/>
        <w:shd w:val="clear" w:color="auto" w:fill="auto"/>
        <w:tabs>
          <w:tab w:val="left" w:pos="92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quan;</w:t>
      </w:r>
    </w:p>
    <w:p w14:paraId="4178F909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 xml:space="preserve">b)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8F69D3E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thiết bị được lựa chọn, giá mua thiết bị phù hợp giá thị trường và các chi phí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quan;</w:t>
      </w:r>
    </w:p>
    <w:p w14:paraId="07FB3E9A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Style w:val="ThnVnbanChar"/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4C9D3CB6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472EF6BF" w14:textId="77777777" w:rsidR="00F26CD6" w:rsidRPr="00180120" w:rsidRDefault="00F26CD6" w:rsidP="00F26CD6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e)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bom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FBCD50D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g)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a, b, c, d, đ, e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Riêng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yếu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A46417E" w14:textId="77777777" w:rsidR="00F26CD6" w:rsidRPr="00180120" w:rsidRDefault="00F26CD6" w:rsidP="00F26CD6">
      <w:pPr>
        <w:pStyle w:val="ThnVnban"/>
        <w:shd w:val="clear" w:color="auto" w:fill="auto"/>
        <w:tabs>
          <w:tab w:val="left" w:pos="9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344B5CA9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A2E89B9" w14:textId="77777777" w:rsidR="00F26CD6" w:rsidRPr="00180120" w:rsidRDefault="00F26CD6" w:rsidP="00F26CD6">
      <w:pPr>
        <w:pStyle w:val="ThnVnban"/>
        <w:shd w:val="clear" w:color="auto" w:fill="auto"/>
        <w:tabs>
          <w:tab w:val="left" w:pos="90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76665F3C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cùng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quy mô,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060899E" w14:textId="77777777" w:rsidR="00F26CD6" w:rsidRPr="00180120" w:rsidRDefault="00F26CD6" w:rsidP="00F26CD6">
      <w:pPr>
        <w:pStyle w:val="ThnVnban"/>
        <w:shd w:val="clear" w:color="auto" w:fill="auto"/>
        <w:tabs>
          <w:tab w:val="left" w:pos="93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a, b, c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28C3FF4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7.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797E270A" w14:textId="77777777" w:rsidR="00F26CD6" w:rsidRPr="00180120" w:rsidRDefault="00F26CD6" w:rsidP="00F26CD6">
      <w:pPr>
        <w:pStyle w:val="ThnVnban"/>
        <w:shd w:val="clear" w:color="auto" w:fill="auto"/>
        <w:tabs>
          <w:tab w:val="left" w:pos="92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tế-kỹ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7AC9BB2" w14:textId="77777777" w:rsidR="00F26CD6" w:rsidRPr="00180120" w:rsidRDefault="00F26CD6" w:rsidP="00F26CD6">
      <w:pPr>
        <w:pStyle w:val="ThnVnban"/>
        <w:shd w:val="clear" w:color="auto" w:fill="auto"/>
        <w:tabs>
          <w:tab w:val="left" w:pos="91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58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33DDFF9D" w14:textId="77777777" w:rsidR="00F26CD6" w:rsidRPr="00180120" w:rsidRDefault="00F26CD6" w:rsidP="00F26CD6">
      <w:pPr>
        <w:pStyle w:val="ThnVnban"/>
        <w:shd w:val="clear" w:color="auto" w:fill="auto"/>
        <w:tabs>
          <w:tab w:val="left" w:pos="93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6A3FEED" w14:textId="77777777" w:rsidR="00F26CD6" w:rsidRPr="00180120" w:rsidRDefault="00F26CD6" w:rsidP="00F26CD6">
      <w:pPr>
        <w:pStyle w:val="ThnVnban"/>
        <w:shd w:val="clear" w:color="auto" w:fill="auto"/>
        <w:tabs>
          <w:tab w:val="left" w:pos="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C77C295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970AAF7" w14:textId="77777777" w:rsidR="00F26CD6" w:rsidRPr="00180120" w:rsidRDefault="00F26CD6" w:rsidP="00F26CD6">
      <w:pPr>
        <w:pStyle w:val="ThnVnban"/>
        <w:shd w:val="clear" w:color="auto" w:fill="auto"/>
        <w:tabs>
          <w:tab w:val="left" w:pos="94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tuân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25BA197" w14:textId="77777777" w:rsidR="00F26CD6" w:rsidRPr="00180120" w:rsidRDefault="00F26CD6" w:rsidP="00F26CD6">
      <w:pPr>
        <w:pStyle w:val="ThnVnban"/>
        <w:shd w:val="clear" w:color="auto" w:fill="auto"/>
        <w:tabs>
          <w:tab w:val="left" w:pos="91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giao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20531239" w14:textId="77777777" w:rsidR="00F26CD6" w:rsidRPr="00180120" w:rsidRDefault="00F26CD6" w:rsidP="00F26CD6">
      <w:pPr>
        <w:pStyle w:val="ThnVnban"/>
        <w:shd w:val="clear" w:color="auto" w:fill="auto"/>
        <w:tabs>
          <w:tab w:val="left" w:pos="93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);</w:t>
      </w:r>
    </w:p>
    <w:p w14:paraId="2DEECB8E" w14:textId="77777777" w:rsidR="00F26CD6" w:rsidRPr="00180120" w:rsidRDefault="00F26CD6" w:rsidP="00F26CD6">
      <w:pPr>
        <w:pStyle w:val="ThnVnban"/>
        <w:shd w:val="clear" w:color="auto" w:fill="auto"/>
        <w:tabs>
          <w:tab w:val="left" w:pos="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D03DEED" w14:textId="77777777" w:rsidR="00F26CD6" w:rsidRPr="00180120" w:rsidRDefault="00F26CD6" w:rsidP="00F26CD6">
      <w:pPr>
        <w:pStyle w:val="ThnVnban"/>
        <w:shd w:val="clear" w:color="auto" w:fill="auto"/>
        <w:tabs>
          <w:tab w:val="left" w:pos="96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mô,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88C09DB" w14:textId="77777777" w:rsidR="00F26CD6" w:rsidRPr="00180120" w:rsidRDefault="00F26CD6" w:rsidP="00F26CD6">
      <w:pPr>
        <w:pStyle w:val="ThnVnban"/>
        <w:shd w:val="clear" w:color="auto" w:fill="auto"/>
        <w:tabs>
          <w:tab w:val="left" w:pos="98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0F62F5A5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nguyên nhân tăng,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27681AC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58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2, 3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7598F4E" w14:textId="77777777" w:rsidR="00F26CD6" w:rsidRPr="00180120" w:rsidRDefault="00F26CD6" w:rsidP="00F26CD6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tế-kỹ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3, 4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1DB8BC9" w14:textId="77777777" w:rsidR="00F26CD6" w:rsidRPr="00180120" w:rsidRDefault="00F26CD6" w:rsidP="00F26CD6">
      <w:pPr>
        <w:pStyle w:val="ThnVnban"/>
        <w:shd w:val="clear" w:color="auto" w:fill="auto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E8E7FF4" w14:textId="77777777" w:rsidR="00F26CD6" w:rsidRPr="00180120" w:rsidRDefault="00F26CD6" w:rsidP="00F26CD6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tham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BCF76A0" w14:textId="77777777" w:rsidR="00F26CD6" w:rsidRPr="00180120" w:rsidRDefault="00F26CD6" w:rsidP="00F26CD6">
      <w:pPr>
        <w:pStyle w:val="ThnVnban"/>
        <w:shd w:val="clear" w:color="auto" w:fill="auto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106C0CD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8. Phê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3B1F48CC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60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A388929" w14:textId="77777777" w:rsidR="00F26CD6" w:rsidRPr="00180120" w:rsidRDefault="00F26CD6" w:rsidP="00F26CD6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5F2B593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9.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6B2C8D69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18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739DA26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172B7F2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bookmark2"/>
      <w:bookmarkStart w:id="3" w:name="bookmark3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10.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án</w:t>
      </w:r>
      <w:bookmarkEnd w:id="2"/>
      <w:bookmarkEnd w:id="3"/>
      <w:proofErr w:type="spellEnd"/>
    </w:p>
    <w:p w14:paraId="5907BE71" w14:textId="77777777" w:rsidR="00F26CD6" w:rsidRPr="00180120" w:rsidRDefault="00F26CD6" w:rsidP="00F26CD6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921D4E3" w14:textId="77777777" w:rsidR="00F26CD6" w:rsidRPr="00180120" w:rsidRDefault="00F26CD6" w:rsidP="00F26CD6">
      <w:pPr>
        <w:pStyle w:val="ThnVnban"/>
        <w:shd w:val="clear" w:color="auto" w:fill="auto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Cơ quan,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(trong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3, 4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1F0C827" w14:textId="77777777" w:rsidR="00F26CD6" w:rsidRPr="00180120" w:rsidRDefault="00F26CD6" w:rsidP="00F26CD6">
      <w:pPr>
        <w:pStyle w:val="ThnVnban"/>
        <w:shd w:val="clear" w:color="auto" w:fill="auto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công.</w:t>
      </w:r>
    </w:p>
    <w:p w14:paraId="4D3B6924" w14:textId="77777777" w:rsidR="00F26CD6" w:rsidRPr="00180120" w:rsidRDefault="00F26CD6" w:rsidP="00F26CD6">
      <w:pPr>
        <w:pStyle w:val="ThnVnban"/>
        <w:shd w:val="clear" w:color="auto" w:fill="auto"/>
        <w:tabs>
          <w:tab w:val="left" w:pos="91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B3D7645" w14:textId="77777777" w:rsidR="00F26CD6" w:rsidRPr="00180120" w:rsidRDefault="00F26CD6" w:rsidP="00F26CD6">
      <w:pPr>
        <w:pStyle w:val="ThnVnban"/>
        <w:shd w:val="clear" w:color="auto" w:fill="auto"/>
        <w:tabs>
          <w:tab w:val="left" w:pos="92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FEF405B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4" w:name="bookmark4"/>
      <w:bookmarkStart w:id="5" w:name="bookmark5"/>
    </w:p>
    <w:p w14:paraId="1884D6AD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 III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D</w:t>
      </w:r>
      <w:r w:rsidRPr="00F26CD6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TOÁN X</w:t>
      </w:r>
      <w:r w:rsidRPr="00F26CD6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ÂY DỰ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  <w:bookmarkEnd w:id="4"/>
      <w:bookmarkEnd w:id="5"/>
    </w:p>
    <w:p w14:paraId="3B2C68D0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6" w:name="bookmark6"/>
      <w:bookmarkStart w:id="7" w:name="bookmark7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D</w:t>
      </w:r>
      <w:r w:rsidRPr="00F26CD6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TOÁN XÂY DỰNG CÔNG TRÌNH</w:t>
      </w:r>
      <w:bookmarkEnd w:id="6"/>
      <w:bookmarkEnd w:id="7"/>
    </w:p>
    <w:p w14:paraId="31BDD5B8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BCCBBC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bookmark8"/>
      <w:bookmarkStart w:id="9" w:name="bookmark9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11.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bookmarkEnd w:id="8"/>
      <w:bookmarkEnd w:id="9"/>
      <w:proofErr w:type="spellEnd"/>
    </w:p>
    <w:p w14:paraId="17E0C79C" w14:textId="77777777" w:rsidR="00F26CD6" w:rsidRPr="00180120" w:rsidRDefault="00F26CD6" w:rsidP="00F26CD6">
      <w:pPr>
        <w:pStyle w:val="ThnVnban"/>
        <w:shd w:val="clear" w:color="auto" w:fill="auto"/>
        <w:tabs>
          <w:tab w:val="left" w:pos="91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tế-kỹ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5567D1F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b, c, d, đ, e, 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chung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20AD2C0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chung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443C3F9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12.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proofErr w:type="spellEnd"/>
    </w:p>
    <w:p w14:paraId="66C21873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tế-kỹ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2, 3, 4, 5, 6, 7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F30E166" w14:textId="77777777" w:rsidR="00F26CD6" w:rsidRPr="00180120" w:rsidRDefault="00F26CD6" w:rsidP="00F26CD6">
      <w:pPr>
        <w:pStyle w:val="ThnVnban"/>
        <w:shd w:val="clear" w:color="auto" w:fill="auto"/>
        <w:tabs>
          <w:tab w:val="left" w:pos="8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tăng,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5143D5ED" w14:textId="77777777" w:rsidR="00F26CD6" w:rsidRPr="00180120" w:rsidRDefault="00F26CD6" w:rsidP="00F26CD6">
      <w:pPr>
        <w:pStyle w:val="ThnVnban"/>
        <w:shd w:val="clear" w:color="auto" w:fill="auto"/>
        <w:tabs>
          <w:tab w:val="left" w:pos="91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272D711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AB16537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284D81C" w14:textId="77777777" w:rsidR="00F26CD6" w:rsidRPr="00180120" w:rsidRDefault="00F26CD6" w:rsidP="00F26CD6">
      <w:pPr>
        <w:pStyle w:val="ThnVnban"/>
        <w:shd w:val="clear" w:color="auto" w:fill="auto"/>
        <w:tabs>
          <w:tab w:val="left" w:pos="92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chung,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ở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D6357A7" w14:textId="77777777" w:rsidR="00F26CD6" w:rsidRPr="00180120" w:rsidRDefault="00F26CD6" w:rsidP="00F26CD6">
      <w:pPr>
        <w:pStyle w:val="ThnVnban"/>
        <w:shd w:val="clear" w:color="auto" w:fill="auto"/>
        <w:tabs>
          <w:tab w:val="left" w:pos="95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 xml:space="preserve">c)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(%);</w:t>
      </w:r>
    </w:p>
    <w:p w14:paraId="27268554" w14:textId="77777777" w:rsidR="00F26CD6" w:rsidRPr="00180120" w:rsidRDefault="00F26CD6" w:rsidP="00F26CD6">
      <w:pPr>
        <w:pStyle w:val="ThnVnban"/>
        <w:shd w:val="clear" w:color="auto" w:fill="auto"/>
        <w:tabs>
          <w:tab w:val="left" w:pos="9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tăng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BD5A1F7" w14:textId="77777777" w:rsidR="00F26CD6" w:rsidRPr="00180120" w:rsidRDefault="00F26CD6" w:rsidP="00F26CD6">
      <w:pPr>
        <w:pStyle w:val="ThnVnban"/>
        <w:shd w:val="clear" w:color="auto" w:fill="auto"/>
        <w:tabs>
          <w:tab w:val="left" w:pos="96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1DB327EC" w14:textId="77777777" w:rsidR="00F26CD6" w:rsidRPr="00180120" w:rsidRDefault="00F26CD6" w:rsidP="00F26CD6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sắm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), danh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D0F3C22" w14:textId="77777777" w:rsidR="00F26CD6" w:rsidRPr="00180120" w:rsidRDefault="00F26CD6" w:rsidP="00F26CD6">
      <w:pPr>
        <w:pStyle w:val="ThnVnban"/>
        <w:shd w:val="clear" w:color="auto" w:fill="auto"/>
        <w:tabs>
          <w:tab w:val="left" w:pos="95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4C82D56B" w14:textId="77777777" w:rsidR="00F26CD6" w:rsidRPr="00180120" w:rsidRDefault="00F26CD6" w:rsidP="00F26CD6">
      <w:pPr>
        <w:pStyle w:val="ThnVnban"/>
        <w:shd w:val="clear" w:color="auto" w:fill="auto"/>
        <w:tabs>
          <w:tab w:val="left" w:pos="95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2424775" w14:textId="77777777" w:rsidR="00F26CD6" w:rsidRPr="00180120" w:rsidRDefault="00F26CD6" w:rsidP="00F26CD6">
      <w:pPr>
        <w:pStyle w:val="ThnVnban"/>
        <w:shd w:val="clear" w:color="auto" w:fill="auto"/>
        <w:tabs>
          <w:tab w:val="left" w:pos="93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3BC2852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463C34D" w14:textId="77777777" w:rsidR="00F26CD6" w:rsidRPr="00180120" w:rsidRDefault="00F26CD6" w:rsidP="00F26CD6">
      <w:pPr>
        <w:pStyle w:val="ThnVnban"/>
        <w:shd w:val="clear" w:color="auto" w:fill="auto"/>
        <w:tabs>
          <w:tab w:val="left" w:pos="92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248684B" w14:textId="77777777" w:rsidR="00F26CD6" w:rsidRPr="00180120" w:rsidRDefault="00F26CD6" w:rsidP="00F26CD6">
      <w:pPr>
        <w:pStyle w:val="ThnVnban"/>
        <w:shd w:val="clear" w:color="auto" w:fill="auto"/>
        <w:tabs>
          <w:tab w:val="left" w:pos="93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yếu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2, 3, 4, 5, 6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Riêng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yếu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ED5E0E3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13.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proofErr w:type="spellEnd"/>
    </w:p>
    <w:p w14:paraId="0E211D90" w14:textId="77777777" w:rsidR="00F26CD6" w:rsidRPr="00180120" w:rsidRDefault="00F26CD6" w:rsidP="00F26CD6">
      <w:pPr>
        <w:pStyle w:val="ThnVnban"/>
        <w:shd w:val="clear" w:color="auto" w:fill="auto"/>
        <w:tabs>
          <w:tab w:val="left" w:pos="92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777E086" w14:textId="77777777" w:rsidR="00F26CD6" w:rsidRPr="00180120" w:rsidRDefault="00F26CD6" w:rsidP="00F26CD6">
      <w:pPr>
        <w:pStyle w:val="ThnVnban"/>
        <w:shd w:val="clear" w:color="auto" w:fill="auto"/>
        <w:tabs>
          <w:tab w:val="left" w:pos="91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CED4BE6" w14:textId="77777777" w:rsidR="00F26CD6" w:rsidRPr="00180120" w:rsidRDefault="00F26CD6" w:rsidP="00F26CD6">
      <w:pPr>
        <w:pStyle w:val="ThnVnban"/>
        <w:shd w:val="clear" w:color="auto" w:fill="auto"/>
        <w:tabs>
          <w:tab w:val="left" w:pos="91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83a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76857A83" w14:textId="77777777" w:rsidR="00F26CD6" w:rsidRPr="00180120" w:rsidRDefault="00F26CD6" w:rsidP="00F26CD6">
      <w:pPr>
        <w:pStyle w:val="ThnVnban"/>
        <w:shd w:val="clear" w:color="auto" w:fill="auto"/>
        <w:tabs>
          <w:tab w:val="left" w:pos="91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9B9EA20" w14:textId="77777777" w:rsidR="00F26CD6" w:rsidRPr="00180120" w:rsidRDefault="00F26CD6" w:rsidP="00F26CD6">
      <w:pPr>
        <w:pStyle w:val="ThnVnban"/>
        <w:shd w:val="clear" w:color="auto" w:fill="auto"/>
        <w:tabs>
          <w:tab w:val="left" w:pos="93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C57B540" w14:textId="77777777" w:rsidR="00F26CD6" w:rsidRPr="00180120" w:rsidRDefault="00F26CD6" w:rsidP="00F26CD6">
      <w:pPr>
        <w:pStyle w:val="ThnVnban"/>
        <w:shd w:val="clear" w:color="auto" w:fill="auto"/>
        <w:tabs>
          <w:tab w:val="left" w:pos="94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BD13A2E" w14:textId="77777777" w:rsidR="00F26CD6" w:rsidRPr="00180120" w:rsidRDefault="00F26CD6" w:rsidP="00F26CD6">
      <w:pPr>
        <w:pStyle w:val="ThnVnban"/>
        <w:shd w:val="clear" w:color="auto" w:fill="auto"/>
        <w:tabs>
          <w:tab w:val="left" w:pos="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tuân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24B1E023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Danh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6F06812" w14:textId="77777777" w:rsidR="00F26CD6" w:rsidRPr="00180120" w:rsidRDefault="00F26CD6" w:rsidP="00F26CD6">
      <w:pPr>
        <w:pStyle w:val="ThnVnban"/>
        <w:shd w:val="clear" w:color="auto" w:fill="auto"/>
        <w:tabs>
          <w:tab w:val="left" w:pos="91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83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bởi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5FD54DB5" w14:textId="77777777" w:rsidR="00F26CD6" w:rsidRPr="00180120" w:rsidRDefault="00F26CD6" w:rsidP="00F26CD6">
      <w:pPr>
        <w:pStyle w:val="ThnVnban"/>
        <w:shd w:val="clear" w:color="auto" w:fill="auto"/>
        <w:tabs>
          <w:tab w:val="left" w:pos="92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);</w:t>
      </w:r>
    </w:p>
    <w:p w14:paraId="15130A6C" w14:textId="77777777" w:rsidR="00F26CD6" w:rsidRPr="00180120" w:rsidRDefault="00F26CD6" w:rsidP="00F26CD6">
      <w:pPr>
        <w:pStyle w:val="ThnVnban"/>
        <w:shd w:val="clear" w:color="auto" w:fill="auto"/>
        <w:tabs>
          <w:tab w:val="left" w:pos="94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168399C5" w14:textId="77777777" w:rsidR="00F26CD6" w:rsidRPr="00180120" w:rsidRDefault="00F26CD6" w:rsidP="00F26CD6">
      <w:pPr>
        <w:pStyle w:val="ThnVnban"/>
        <w:shd w:val="clear" w:color="auto" w:fill="auto"/>
        <w:tabs>
          <w:tab w:val="left" w:pos="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1AEC773" w14:textId="77777777" w:rsidR="00F26CD6" w:rsidRPr="00180120" w:rsidRDefault="00F26CD6" w:rsidP="00F26CD6">
      <w:pPr>
        <w:pStyle w:val="ThnVnban"/>
        <w:shd w:val="clear" w:color="auto" w:fill="auto"/>
        <w:tabs>
          <w:tab w:val="left" w:pos="94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926590D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nguyên nhân tăng,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0F330C23" w14:textId="77777777" w:rsidR="00F26CD6" w:rsidRPr="00180120" w:rsidRDefault="00F26CD6" w:rsidP="00F26CD6">
      <w:pPr>
        <w:pStyle w:val="ThnVnban"/>
        <w:shd w:val="clear" w:color="auto" w:fill="auto"/>
        <w:tabs>
          <w:tab w:val="left" w:pos="93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e)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 xml:space="preserve">a,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b, c, d, đ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46547F9" w14:textId="77777777" w:rsidR="00F26CD6" w:rsidRPr="00180120" w:rsidRDefault="00F26CD6" w:rsidP="00F26CD6">
      <w:pPr>
        <w:pStyle w:val="ThnVnban"/>
        <w:shd w:val="clear" w:color="auto" w:fill="auto"/>
        <w:tabs>
          <w:tab w:val="left" w:pos="9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PPP:</w:t>
      </w:r>
    </w:p>
    <w:p w14:paraId="2C86EA35" w14:textId="77777777" w:rsidR="00F26CD6" w:rsidRPr="00180120" w:rsidRDefault="00F26CD6" w:rsidP="00F26CD6">
      <w:pPr>
        <w:pStyle w:val="ThnVnban"/>
        <w:shd w:val="clear" w:color="auto" w:fill="auto"/>
        <w:tabs>
          <w:tab w:val="left" w:pos="91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công: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PPP;</w:t>
      </w:r>
    </w:p>
    <w:p w14:paraId="4ED3C96C" w14:textId="77777777" w:rsidR="00F26CD6" w:rsidRPr="00180120" w:rsidRDefault="00F26CD6" w:rsidP="00F26CD6">
      <w:pPr>
        <w:pStyle w:val="ThnVnban"/>
        <w:shd w:val="clear" w:color="auto" w:fill="auto"/>
        <w:tabs>
          <w:tab w:val="left" w:pos="93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3, 4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PPP.</w:t>
      </w:r>
    </w:p>
    <w:p w14:paraId="2DE309BB" w14:textId="77777777" w:rsidR="00F26CD6" w:rsidRPr="00180120" w:rsidRDefault="00F26CD6" w:rsidP="00F26CD6">
      <w:pPr>
        <w:pStyle w:val="ThnVnban"/>
        <w:shd w:val="clear" w:color="auto" w:fill="auto"/>
        <w:tabs>
          <w:tab w:val="left" w:pos="9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chung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xem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xét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9F90812" w14:textId="77777777" w:rsidR="00F26CD6" w:rsidRPr="00180120" w:rsidRDefault="00F26CD6" w:rsidP="00F26CD6">
      <w:pPr>
        <w:pStyle w:val="ThnVnban"/>
        <w:shd w:val="clear" w:color="auto" w:fill="auto"/>
        <w:tabs>
          <w:tab w:val="left" w:pos="8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1B7A322" w14:textId="77777777" w:rsidR="00F26CD6" w:rsidRPr="00180120" w:rsidRDefault="00F26CD6" w:rsidP="00F26CD6">
      <w:pPr>
        <w:pStyle w:val="ThnVnban"/>
        <w:shd w:val="clear" w:color="auto" w:fill="auto"/>
        <w:tabs>
          <w:tab w:val="left" w:pos="8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tham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CFA2E49" w14:textId="77777777" w:rsidR="00F26CD6" w:rsidRPr="00180120" w:rsidRDefault="00F26CD6" w:rsidP="00F26CD6">
      <w:pPr>
        <w:pStyle w:val="ThnVnban"/>
        <w:shd w:val="clear" w:color="auto" w:fill="auto"/>
        <w:tabs>
          <w:tab w:val="left" w:pos="8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9.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4CE85AF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bookmark10"/>
      <w:bookmarkStart w:id="11" w:name="bookmark11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14. Phê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bookmarkEnd w:id="10"/>
      <w:bookmarkEnd w:id="11"/>
      <w:proofErr w:type="spellEnd"/>
    </w:p>
    <w:p w14:paraId="01EB31EA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82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24, 25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6E69F59" w14:textId="77777777" w:rsidR="00F26CD6" w:rsidRPr="00180120" w:rsidRDefault="00F26CD6" w:rsidP="00F26CD6">
      <w:pPr>
        <w:pStyle w:val="ThnVnban"/>
        <w:shd w:val="clear" w:color="auto" w:fill="auto"/>
        <w:tabs>
          <w:tab w:val="left" w:pos="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chung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87BDBCC" w14:textId="77777777" w:rsidR="00F26CD6" w:rsidRPr="00180120" w:rsidRDefault="00F26CD6" w:rsidP="00F26CD6">
      <w:pPr>
        <w:pStyle w:val="ThnVnban"/>
        <w:shd w:val="clear" w:color="auto" w:fill="auto"/>
        <w:tabs>
          <w:tab w:val="left" w:pos="94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tư.</w:t>
      </w:r>
    </w:p>
    <w:p w14:paraId="52ABF002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15.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proofErr w:type="spellEnd"/>
    </w:p>
    <w:p w14:paraId="292360D5" w14:textId="77777777" w:rsidR="00F26CD6" w:rsidRPr="00180120" w:rsidRDefault="00F26CD6" w:rsidP="00F26CD6">
      <w:pPr>
        <w:pStyle w:val="ThnVnban"/>
        <w:shd w:val="clear" w:color="auto" w:fill="auto"/>
        <w:tabs>
          <w:tab w:val="left" w:pos="94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D4698A1" w14:textId="77777777" w:rsidR="00F26CD6" w:rsidRPr="00180120" w:rsidRDefault="00F26CD6" w:rsidP="00F26CD6">
      <w:pPr>
        <w:pStyle w:val="ThnVnban"/>
        <w:shd w:val="clear" w:color="auto" w:fill="auto"/>
        <w:tabs>
          <w:tab w:val="left" w:pos="94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85A3CBE" w14:textId="77777777" w:rsidR="00F26CD6" w:rsidRPr="00180120" w:rsidRDefault="00F26CD6" w:rsidP="00F26CD6">
      <w:pPr>
        <w:pStyle w:val="ThnVnban"/>
        <w:shd w:val="clear" w:color="auto" w:fill="auto"/>
        <w:tabs>
          <w:tab w:val="left" w:pos="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8D92037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nhưng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CB593A1" w14:textId="77777777" w:rsidR="00F26CD6" w:rsidRPr="00180120" w:rsidRDefault="00F26CD6" w:rsidP="00F26CD6">
      <w:pPr>
        <w:pStyle w:val="ThnVnban"/>
        <w:shd w:val="clear" w:color="auto" w:fill="auto"/>
        <w:tabs>
          <w:tab w:val="left" w:pos="959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CED636D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12" w:name="bookmark12"/>
      <w:bookmarkStart w:id="13" w:name="bookmark13"/>
    </w:p>
    <w:p w14:paraId="4A0C2191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D</w:t>
      </w:r>
      <w:r w:rsidRPr="00F26CD6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TOÁN GÓI THẦU XÂY D</w:t>
      </w:r>
      <w:r w:rsidRPr="00F26CD6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  <w:bookmarkEnd w:id="12"/>
      <w:bookmarkEnd w:id="13"/>
    </w:p>
    <w:p w14:paraId="4E7090C4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F6E87EB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4" w:name="bookmark14"/>
      <w:bookmarkStart w:id="15" w:name="bookmark15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16. Quy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chung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bookmarkEnd w:id="14"/>
      <w:bookmarkEnd w:id="15"/>
      <w:proofErr w:type="spellEnd"/>
    </w:p>
    <w:p w14:paraId="5E611E9B" w14:textId="77777777" w:rsidR="00F26CD6" w:rsidRPr="00180120" w:rsidRDefault="00F26CD6" w:rsidP="00F26CD6">
      <w:pPr>
        <w:pStyle w:val="ThnVnban"/>
        <w:shd w:val="clear" w:color="auto" w:fill="auto"/>
        <w:tabs>
          <w:tab w:val="left" w:pos="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(sau đây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gọi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EE01126" w14:textId="77777777" w:rsidR="00F26CD6" w:rsidRPr="00180120" w:rsidRDefault="00F26CD6" w:rsidP="00F26CD6">
      <w:pPr>
        <w:pStyle w:val="ThnVnban"/>
        <w:shd w:val="clear" w:color="auto" w:fill="auto"/>
        <w:tabs>
          <w:tab w:val="left" w:pos="96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sau:</w:t>
      </w:r>
    </w:p>
    <w:p w14:paraId="04FECDC7" w14:textId="77777777" w:rsidR="00F26CD6" w:rsidRPr="00180120" w:rsidRDefault="00F26CD6" w:rsidP="00F26CD6">
      <w:pPr>
        <w:pStyle w:val="ThnVnban"/>
        <w:shd w:val="clear" w:color="auto" w:fill="auto"/>
        <w:tabs>
          <w:tab w:val="left" w:pos="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E28FF25" w14:textId="77777777" w:rsidR="00F26CD6" w:rsidRPr="00180120" w:rsidRDefault="00F26CD6" w:rsidP="00F26CD6">
      <w:pPr>
        <w:pStyle w:val="ThnVnban"/>
        <w:shd w:val="clear" w:color="auto" w:fill="auto"/>
        <w:tabs>
          <w:tab w:val="left" w:pos="10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sắm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45D0FC97" w14:textId="77777777" w:rsidR="00F26CD6" w:rsidRPr="00180120" w:rsidRDefault="00F26CD6" w:rsidP="00F26CD6">
      <w:pPr>
        <w:pStyle w:val="ThnVnban"/>
        <w:shd w:val="clear" w:color="auto" w:fill="auto"/>
        <w:tabs>
          <w:tab w:val="left" w:pos="10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lắp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D771800" w14:textId="77777777" w:rsidR="00F26CD6" w:rsidRPr="00180120" w:rsidRDefault="00F26CD6" w:rsidP="00F26CD6">
      <w:pPr>
        <w:pStyle w:val="ThnVnban"/>
        <w:shd w:val="clear" w:color="auto" w:fill="auto"/>
        <w:tabs>
          <w:tab w:val="left" w:pos="10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CE0AE76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291C573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17.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thầu</w:t>
      </w:r>
      <w:proofErr w:type="spellEnd"/>
    </w:p>
    <w:p w14:paraId="1D50ABCA" w14:textId="77777777" w:rsidR="00F26CD6" w:rsidRPr="00180120" w:rsidRDefault="00F26CD6" w:rsidP="00F26CD6">
      <w:pPr>
        <w:pStyle w:val="ThnVnban"/>
        <w:shd w:val="clear" w:color="auto" w:fill="auto"/>
        <w:tabs>
          <w:tab w:val="left" w:pos="96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ADB2426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 xml:space="preserve">(FEED)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sắm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(EPC),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>FEED.</w:t>
      </w:r>
    </w:p>
    <w:p w14:paraId="04068F63" w14:textId="77777777" w:rsidR="00F26CD6" w:rsidRPr="00180120" w:rsidRDefault="00F26CD6" w:rsidP="00F26CD6">
      <w:pPr>
        <w:pStyle w:val="ThnVnban"/>
        <w:shd w:val="clear" w:color="auto" w:fill="auto"/>
        <w:tabs>
          <w:tab w:val="left" w:pos="96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phép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đoạn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AB78AAE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E4FF427" w14:textId="77777777" w:rsidR="00F26CD6" w:rsidRPr="00180120" w:rsidRDefault="00F26CD6" w:rsidP="00F26CD6">
      <w:pPr>
        <w:pStyle w:val="ThnVnban"/>
        <w:shd w:val="clear" w:color="auto" w:fill="auto"/>
        <w:tabs>
          <w:tab w:val="left" w:pos="96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ghi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C5645D3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18.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thầu</w:t>
      </w:r>
      <w:proofErr w:type="spellEnd"/>
    </w:p>
    <w:p w14:paraId="34C17855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2, 3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D32360F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2, 3, 4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A50CDD8" w14:textId="77777777" w:rsidR="00F26CD6" w:rsidRPr="00180120" w:rsidRDefault="00F26CD6" w:rsidP="00F26CD6">
      <w:pPr>
        <w:pStyle w:val="ThnVnban"/>
        <w:shd w:val="clear" w:color="auto" w:fill="auto"/>
        <w:tabs>
          <w:tab w:val="left" w:pos="94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8F59CA0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Tùy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2, 3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1869910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19.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03AAED15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F55F22E" w14:textId="77777777" w:rsidR="00F26CD6" w:rsidRPr="00180120" w:rsidRDefault="00F26CD6" w:rsidP="00F26CD6">
      <w:pPr>
        <w:pStyle w:val="ThnVnban"/>
        <w:shd w:val="clear" w:color="auto" w:fill="auto"/>
        <w:tabs>
          <w:tab w:val="left" w:pos="946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F38A75A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2B78FCF7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lastRenderedPageBreak/>
        <w:t>Chương IV</w:t>
      </w:r>
    </w:p>
    <w:p w14:paraId="5B8D5E54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 MỨC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NG, GIÁ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 CÔNG TRÌNH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VÀ CHỈ S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Ố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GIÁ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</w:p>
    <w:p w14:paraId="5968AB1C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1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ĐỊNH MỨC XÂY DỰNG</w:t>
      </w:r>
    </w:p>
    <w:p w14:paraId="1F792EE9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7095D0A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20.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0D430B8C" w14:textId="77777777" w:rsidR="00F26CD6" w:rsidRPr="00180120" w:rsidRDefault="00F26CD6" w:rsidP="00F26CD6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tế-kỹ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01EB533" w14:textId="77777777" w:rsidR="00F26CD6" w:rsidRPr="00180120" w:rsidRDefault="00F26CD6" w:rsidP="00F26CD6">
      <w:pPr>
        <w:pStyle w:val="ThnVnban"/>
        <w:shd w:val="clear" w:color="auto" w:fill="auto"/>
        <w:tabs>
          <w:tab w:val="left" w:pos="94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tiêu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51A6056" w14:textId="77777777" w:rsidR="00F26CD6" w:rsidRPr="00180120" w:rsidRDefault="00F26CD6" w:rsidP="00F26CD6">
      <w:pPr>
        <w:pStyle w:val="ThnVnban"/>
        <w:shd w:val="clear" w:color="auto" w:fill="auto"/>
        <w:tabs>
          <w:tab w:val="left" w:pos="97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</w:p>
    <w:p w14:paraId="2FEE91EB" w14:textId="77777777" w:rsidR="00F26CD6" w:rsidRPr="00180120" w:rsidRDefault="00F26CD6" w:rsidP="00F26CD6">
      <w:pPr>
        <w:pStyle w:val="ThnVnban"/>
        <w:shd w:val="clear" w:color="auto" w:fill="auto"/>
        <w:tabs>
          <w:tab w:val="left" w:pos="96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nhân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E60B391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ED5C1A8" w14:textId="77777777" w:rsidR="00F26CD6" w:rsidRPr="00180120" w:rsidRDefault="00F26CD6" w:rsidP="00F26CD6">
      <w:pPr>
        <w:pStyle w:val="ThnVnban"/>
        <w:shd w:val="clear" w:color="auto" w:fill="auto"/>
        <w:tabs>
          <w:tab w:val="left" w:pos="8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97306CC" w14:textId="77777777" w:rsidR="00F26CD6" w:rsidRPr="00180120" w:rsidRDefault="00F26CD6" w:rsidP="00F26CD6">
      <w:pPr>
        <w:pStyle w:val="ThnVnban"/>
        <w:shd w:val="clear" w:color="auto" w:fill="auto"/>
        <w:tabs>
          <w:tab w:val="left" w:pos="9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phương.</w:t>
      </w:r>
    </w:p>
    <w:p w14:paraId="0CD8A5DE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chung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phương.</w:t>
      </w:r>
    </w:p>
    <w:p w14:paraId="6E5FDC62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E969848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25CE597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9.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0E086D4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21.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cho công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proofErr w:type="spellEnd"/>
    </w:p>
    <w:p w14:paraId="20A15CF7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chưa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978436C" w14:textId="77777777" w:rsidR="00F26CD6" w:rsidRPr="00180120" w:rsidRDefault="00F26CD6" w:rsidP="00F26CD6">
      <w:pPr>
        <w:pStyle w:val="ThnVnban"/>
        <w:shd w:val="clear" w:color="auto" w:fill="auto"/>
        <w:tabs>
          <w:tab w:val="left" w:pos="8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nhưng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5BF8251" w14:textId="77777777" w:rsidR="00F26CD6" w:rsidRPr="00180120" w:rsidRDefault="00F26CD6" w:rsidP="00F26CD6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EF72F78" w14:textId="77777777" w:rsidR="00F26CD6" w:rsidRPr="00180120" w:rsidRDefault="00F26CD6" w:rsidP="00F26CD6">
      <w:pPr>
        <w:pStyle w:val="ThnVnban"/>
        <w:shd w:val="clear" w:color="auto" w:fill="auto"/>
        <w:tabs>
          <w:tab w:val="left" w:pos="9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1, 2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4BE50AD3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2CDD20A3" w14:textId="77777777" w:rsidR="00F26CD6" w:rsidRPr="00180120" w:rsidRDefault="00F26CD6" w:rsidP="00F26CD6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liên quan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A39DAD7" w14:textId="77777777" w:rsidR="00F26CD6" w:rsidRPr="00180120" w:rsidRDefault="00F26CD6" w:rsidP="00F26CD6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xem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xét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88D4AD6" w14:textId="77777777" w:rsidR="00F26CD6" w:rsidRPr="00180120" w:rsidRDefault="00F26CD6" w:rsidP="00F26CD6">
      <w:pPr>
        <w:pStyle w:val="ThnVnban"/>
        <w:shd w:val="clear" w:color="auto" w:fill="auto"/>
        <w:tabs>
          <w:tab w:val="left" w:pos="91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3F7CE0B0" w14:textId="77777777" w:rsidR="00F26CD6" w:rsidRPr="00180120" w:rsidRDefault="00F26CD6" w:rsidP="00F26CD6">
      <w:pPr>
        <w:pStyle w:val="ThnVnban"/>
        <w:shd w:val="clear" w:color="auto" w:fill="auto"/>
        <w:tabs>
          <w:tab w:val="left" w:pos="92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4C49DD3" w14:textId="77777777" w:rsidR="00F26CD6" w:rsidRPr="00180120" w:rsidRDefault="00F26CD6" w:rsidP="00F26CD6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28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5E771FA" w14:textId="77777777" w:rsidR="00F26CD6" w:rsidRPr="00180120" w:rsidRDefault="00F26CD6" w:rsidP="00F26CD6">
      <w:pPr>
        <w:pStyle w:val="ThnVnban"/>
        <w:shd w:val="clear" w:color="auto" w:fill="auto"/>
        <w:tabs>
          <w:tab w:val="left" w:pos="91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cơ quan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4, 5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B0C8B37" w14:textId="77777777" w:rsidR="00F26CD6" w:rsidRPr="00180120" w:rsidRDefault="00F26CD6" w:rsidP="00F26CD6">
      <w:pPr>
        <w:pStyle w:val="ThnVnban"/>
        <w:shd w:val="clear" w:color="auto" w:fill="auto"/>
        <w:tabs>
          <w:tab w:val="left" w:pos="91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B459F83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6" w:name="bookmark16"/>
      <w:bookmarkStart w:id="17" w:name="bookmark17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22.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do cơ quan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hành</w:t>
      </w:r>
      <w:bookmarkEnd w:id="16"/>
      <w:bookmarkEnd w:id="17"/>
      <w:proofErr w:type="spellEnd"/>
    </w:p>
    <w:p w14:paraId="790538F5" w14:textId="77777777" w:rsidR="00F26CD6" w:rsidRPr="00180120" w:rsidRDefault="00F26CD6" w:rsidP="00F26CD6">
      <w:pPr>
        <w:pStyle w:val="ThnVnban"/>
        <w:shd w:val="clear" w:color="auto" w:fill="auto"/>
        <w:tabs>
          <w:tab w:val="left" w:pos="92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nguyên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5866FD13" w14:textId="77777777" w:rsidR="00F26CD6" w:rsidRPr="00180120" w:rsidRDefault="00F26CD6" w:rsidP="00F26CD6">
      <w:pPr>
        <w:pStyle w:val="ThnVnban"/>
        <w:shd w:val="clear" w:color="auto" w:fill="auto"/>
        <w:tabs>
          <w:tab w:val="left" w:pos="93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bỏ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6 năm 2021;</w:t>
      </w:r>
    </w:p>
    <w:p w14:paraId="0207954D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12 năm 2021;</w:t>
      </w:r>
    </w:p>
    <w:p w14:paraId="77F764D0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8E38875" w14:textId="77777777" w:rsidR="00F26CD6" w:rsidRPr="00180120" w:rsidRDefault="00F26CD6" w:rsidP="00F26CD6">
      <w:pPr>
        <w:pStyle w:val="ThnVnban"/>
        <w:shd w:val="clear" w:color="auto" w:fill="auto"/>
        <w:tabs>
          <w:tab w:val="left" w:pos="92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03 năm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sớm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hơn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BF6DBDF" w14:textId="77777777" w:rsidR="00F26CD6" w:rsidRPr="00180120" w:rsidRDefault="00F26CD6" w:rsidP="00F26CD6">
      <w:pPr>
        <w:pStyle w:val="ThnVnban"/>
        <w:shd w:val="clear" w:color="auto" w:fill="auto"/>
        <w:tabs>
          <w:tab w:val="left" w:pos="92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85E0561" w14:textId="77777777" w:rsidR="00F26CD6" w:rsidRPr="00180120" w:rsidRDefault="00F26CD6" w:rsidP="00F26CD6">
      <w:pPr>
        <w:pStyle w:val="ThnVnban"/>
        <w:shd w:val="clear" w:color="auto" w:fill="auto"/>
        <w:tabs>
          <w:tab w:val="left" w:pos="92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20 như sau:</w:t>
      </w:r>
    </w:p>
    <w:p w14:paraId="5A012E62" w14:textId="77777777" w:rsidR="00F26CD6" w:rsidRPr="00180120" w:rsidRDefault="00F26CD6" w:rsidP="00F26CD6">
      <w:pPr>
        <w:pStyle w:val="ThnVnban"/>
        <w:shd w:val="clear" w:color="auto" w:fill="auto"/>
        <w:tabs>
          <w:tab w:val="left" w:pos="93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dõi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A5D3EC3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Giao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63DC4E2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AB710A7" w14:textId="77777777" w:rsidR="00F26CD6" w:rsidRPr="00180120" w:rsidRDefault="00F26CD6" w:rsidP="00F26CD6">
      <w:pPr>
        <w:pStyle w:val="ThnVnban"/>
        <w:shd w:val="clear" w:color="auto" w:fill="auto"/>
        <w:tabs>
          <w:tab w:val="left" w:pos="92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4, 5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xem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xét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C06CEDB" w14:textId="77777777" w:rsidR="00F26CD6" w:rsidRPr="00180120" w:rsidRDefault="00F26CD6" w:rsidP="00F26CD6">
      <w:pPr>
        <w:pStyle w:val="ThnVnban"/>
        <w:shd w:val="clear" w:color="auto" w:fill="auto"/>
        <w:tabs>
          <w:tab w:val="left" w:pos="92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Khuyến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C3A6885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23. Kinh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67C8A2A9" w14:textId="77777777" w:rsidR="00F26CD6" w:rsidRPr="00180120" w:rsidRDefault="00F26CD6" w:rsidP="00F26CD6">
      <w:pPr>
        <w:pStyle w:val="ThnVnban"/>
        <w:shd w:val="clear" w:color="auto" w:fill="auto"/>
        <w:tabs>
          <w:tab w:val="left" w:pos="92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năm.</w:t>
      </w:r>
    </w:p>
    <w:p w14:paraId="1715206A" w14:textId="77777777" w:rsidR="00F26CD6" w:rsidRPr="00180120" w:rsidRDefault="00F26CD6" w:rsidP="00F26CD6">
      <w:pPr>
        <w:pStyle w:val="ThnVnban"/>
        <w:shd w:val="clear" w:color="auto" w:fill="auto"/>
        <w:tabs>
          <w:tab w:val="left" w:pos="922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4, 5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0892F04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49DD823F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</w:t>
      </w:r>
    </w:p>
    <w:p w14:paraId="51DA83E7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GIÁ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 CÔNG TRÌNH VÀ CHỈ SỐ GIÁ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</w:p>
    <w:p w14:paraId="470306AA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23881D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bookmark18"/>
      <w:bookmarkStart w:id="19" w:name="bookmark19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24.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bookmarkEnd w:id="18"/>
      <w:bookmarkEnd w:id="19"/>
      <w:proofErr w:type="spellEnd"/>
    </w:p>
    <w:p w14:paraId="2029B101" w14:textId="77777777" w:rsidR="00F26CD6" w:rsidRPr="00180120" w:rsidRDefault="00F26CD6" w:rsidP="00F26CD6">
      <w:pPr>
        <w:pStyle w:val="ThnVnban"/>
        <w:shd w:val="clear" w:color="auto" w:fill="auto"/>
        <w:tabs>
          <w:tab w:val="left" w:pos="91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A783F7D" w14:textId="77777777" w:rsidR="00F26CD6" w:rsidRPr="00180120" w:rsidRDefault="00F26CD6" w:rsidP="00F26CD6">
      <w:pPr>
        <w:pStyle w:val="ThnVnban"/>
        <w:shd w:val="clear" w:color="auto" w:fill="auto"/>
        <w:tabs>
          <w:tab w:val="left" w:pos="92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2288D3A" w14:textId="77777777" w:rsidR="00F26CD6" w:rsidRPr="00180120" w:rsidRDefault="00F26CD6" w:rsidP="00F26CD6">
      <w:pPr>
        <w:pStyle w:val="ThnVnban"/>
        <w:shd w:val="clear" w:color="auto" w:fill="auto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8BEDCCA" w14:textId="77777777" w:rsidR="00F26CD6" w:rsidRPr="00180120" w:rsidRDefault="00F26CD6" w:rsidP="00F26CD6">
      <w:pPr>
        <w:pStyle w:val="ThnVnban"/>
        <w:shd w:val="clear" w:color="auto" w:fill="auto"/>
        <w:tabs>
          <w:tab w:val="left" w:pos="92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yếu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ở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D28E874" w14:textId="77777777" w:rsidR="00F26CD6" w:rsidRPr="00180120" w:rsidRDefault="00F26CD6" w:rsidP="00F26CD6">
      <w:pPr>
        <w:pStyle w:val="ThnVnban"/>
        <w:shd w:val="clear" w:color="auto" w:fill="auto"/>
        <w:tabs>
          <w:tab w:val="left" w:pos="9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nhóm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ở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56A9763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25.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753E8482" w14:textId="77777777" w:rsidR="00F26CD6" w:rsidRPr="00180120" w:rsidRDefault="00F26CD6" w:rsidP="00F26CD6">
      <w:pPr>
        <w:pStyle w:val="ThnVnban"/>
        <w:shd w:val="clear" w:color="auto" w:fill="auto"/>
        <w:tabs>
          <w:tab w:val="left" w:pos="9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A6E5D5E" w14:textId="77777777" w:rsidR="00F26CD6" w:rsidRPr="00180120" w:rsidRDefault="00F26CD6" w:rsidP="00F26CD6">
      <w:pPr>
        <w:pStyle w:val="ThnVnban"/>
        <w:shd w:val="clear" w:color="auto" w:fill="auto"/>
        <w:tabs>
          <w:tab w:val="left" w:pos="9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tăng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nêu trên.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riêng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700DFF2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26.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779C5068" w14:textId="77777777" w:rsidR="00F26CD6" w:rsidRPr="00180120" w:rsidRDefault="00F26CD6" w:rsidP="00F26CD6">
      <w:pPr>
        <w:pStyle w:val="ThnVnban"/>
        <w:shd w:val="clear" w:color="auto" w:fill="auto"/>
        <w:tabs>
          <w:tab w:val="left" w:pos="8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2C58B9C" w14:textId="77777777" w:rsidR="00F26CD6" w:rsidRPr="00180120" w:rsidRDefault="00F26CD6" w:rsidP="00F26CD6">
      <w:pPr>
        <w:pStyle w:val="ThnVnban"/>
        <w:shd w:val="clear" w:color="auto" w:fill="auto"/>
        <w:tabs>
          <w:tab w:val="left" w:pos="8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phương;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a, b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2F89B3D1" w14:textId="77777777" w:rsidR="00F26CD6" w:rsidRPr="00180120" w:rsidRDefault="00F26CD6" w:rsidP="00F26CD6">
      <w:pPr>
        <w:pStyle w:val="ThnVnban"/>
        <w:shd w:val="clear" w:color="auto" w:fill="auto"/>
        <w:tabs>
          <w:tab w:val="left" w:pos="91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sớm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hơn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0C43217" w14:textId="77777777" w:rsidR="00F26CD6" w:rsidRPr="00180120" w:rsidRDefault="00F26CD6" w:rsidP="00F26CD6">
      <w:pPr>
        <w:pStyle w:val="ThnVnban"/>
        <w:shd w:val="clear" w:color="auto" w:fill="auto"/>
        <w:tabs>
          <w:tab w:val="left" w:pos="93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sớm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hơn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1C27C0B" w14:textId="77777777" w:rsidR="00F26CD6" w:rsidRPr="00180120" w:rsidRDefault="00F26CD6" w:rsidP="00F26CD6">
      <w:pPr>
        <w:pStyle w:val="ThnVnban"/>
        <w:shd w:val="clear" w:color="auto" w:fill="auto"/>
        <w:tabs>
          <w:tab w:val="left" w:pos="9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1, 2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D1D63BF" w14:textId="77777777" w:rsidR="00F26CD6" w:rsidRPr="00180120" w:rsidRDefault="00F26CD6" w:rsidP="00F26CD6">
      <w:pPr>
        <w:pStyle w:val="ThnVnban"/>
        <w:shd w:val="clear" w:color="auto" w:fill="auto"/>
        <w:tabs>
          <w:tab w:val="left" w:pos="9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B88879B" w14:textId="77777777" w:rsidR="00F26CD6" w:rsidRPr="00180120" w:rsidRDefault="00F26CD6" w:rsidP="00F26CD6">
      <w:pPr>
        <w:pStyle w:val="ThnVnban"/>
        <w:shd w:val="clear" w:color="auto" w:fill="auto"/>
        <w:tabs>
          <w:tab w:val="left" w:pos="8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1, 2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năm.</w:t>
      </w:r>
    </w:p>
    <w:p w14:paraId="5FC70A77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27.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71E96A2B" w14:textId="77777777" w:rsidR="00F26CD6" w:rsidRPr="00180120" w:rsidRDefault="00F26CD6" w:rsidP="00F26CD6">
      <w:pPr>
        <w:pStyle w:val="ThnVnban"/>
        <w:shd w:val="clear" w:color="auto" w:fill="auto"/>
        <w:tabs>
          <w:tab w:val="left" w:pos="8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tiêu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29AE5E4" w14:textId="77777777" w:rsidR="00F26CD6" w:rsidRPr="00180120" w:rsidRDefault="00F26CD6" w:rsidP="00F26CD6">
      <w:pPr>
        <w:pStyle w:val="ThnVnban"/>
        <w:shd w:val="clear" w:color="auto" w:fill="auto"/>
        <w:tabs>
          <w:tab w:val="left" w:pos="8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theo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yếu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yếu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B720F75" w14:textId="77777777" w:rsidR="00F26CD6" w:rsidRPr="00180120" w:rsidRDefault="00F26CD6" w:rsidP="00F26CD6">
      <w:pPr>
        <w:pStyle w:val="ThnVnban"/>
        <w:shd w:val="clear" w:color="auto" w:fill="auto"/>
        <w:tabs>
          <w:tab w:val="left" w:pos="9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51C7B4C0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theo năm;</w:t>
      </w:r>
    </w:p>
    <w:p w14:paraId="756DFAE5" w14:textId="77777777" w:rsidR="00F26CD6" w:rsidRPr="00180120" w:rsidRDefault="00F26CD6" w:rsidP="00F26CD6">
      <w:pPr>
        <w:pStyle w:val="ThnVnban"/>
        <w:shd w:val="clear" w:color="auto" w:fill="auto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sớm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hơn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dõi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73F1888" w14:textId="77777777" w:rsidR="00F26CD6" w:rsidRPr="00180120" w:rsidRDefault="00F26CD6" w:rsidP="00F26CD6">
      <w:pPr>
        <w:pStyle w:val="ThnVnban"/>
        <w:shd w:val="clear" w:color="auto" w:fill="auto"/>
        <w:tabs>
          <w:tab w:val="left" w:pos="88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danh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tuyến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02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lên)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cho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đắn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A9CDE43" w14:textId="77777777" w:rsidR="00F26CD6" w:rsidRPr="00180120" w:rsidRDefault="00F26CD6" w:rsidP="00F26CD6">
      <w:pPr>
        <w:pStyle w:val="ThnVnban"/>
        <w:shd w:val="clear" w:color="auto" w:fill="auto"/>
        <w:tabs>
          <w:tab w:val="left" w:pos="8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F07ADC6" w14:textId="77777777" w:rsidR="00F26CD6" w:rsidRPr="00180120" w:rsidRDefault="00F26CD6" w:rsidP="00F26CD6">
      <w:pPr>
        <w:pStyle w:val="ThnVnban"/>
        <w:shd w:val="clear" w:color="auto" w:fill="auto"/>
        <w:tabs>
          <w:tab w:val="left" w:pos="917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năm.</w:t>
      </w:r>
    </w:p>
    <w:p w14:paraId="04A23AF5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5EBC7B0E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</w:t>
      </w:r>
    </w:p>
    <w:p w14:paraId="7FC9AECF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Ơ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SỞ DỮ LIỆU V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Ề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ĐỊNH MỨC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NG, GIÁ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CÔNG TRÌNH VÀ CHỈ S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Ố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GIÁ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</w:p>
    <w:p w14:paraId="77443C86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FD2CE4E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28.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25412FEC" w14:textId="77777777" w:rsidR="00F26CD6" w:rsidRPr="00180120" w:rsidRDefault="00F26CD6" w:rsidP="00F26CD6">
      <w:pPr>
        <w:pStyle w:val="ThnVnban"/>
        <w:shd w:val="clear" w:color="auto" w:fill="auto"/>
        <w:tabs>
          <w:tab w:val="left" w:pos="92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gọi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50D8434E" w14:textId="77777777" w:rsidR="00F26CD6" w:rsidRPr="00180120" w:rsidRDefault="00F26CD6" w:rsidP="00F26CD6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139AE79F" w14:textId="77777777" w:rsidR="00F26CD6" w:rsidRPr="00180120" w:rsidRDefault="00F26CD6" w:rsidP="00F26CD6">
      <w:pPr>
        <w:pStyle w:val="ThnVnban"/>
        <w:shd w:val="clear" w:color="auto" w:fill="auto"/>
        <w:tabs>
          <w:tab w:val="left" w:pos="95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qua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sẻ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38B481E6" w14:textId="77777777" w:rsidR="00F26CD6" w:rsidRPr="00180120" w:rsidRDefault="00F26CD6" w:rsidP="00F26CD6">
      <w:pPr>
        <w:pStyle w:val="ThnVnban"/>
        <w:shd w:val="clear" w:color="auto" w:fill="auto"/>
        <w:tabs>
          <w:tab w:val="left" w:pos="95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qua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FE824CD" w14:textId="77777777" w:rsidR="00F26CD6" w:rsidRPr="00180120" w:rsidRDefault="00F26CD6" w:rsidP="00F26CD6">
      <w:pPr>
        <w:pStyle w:val="ThnVnban"/>
        <w:shd w:val="clear" w:color="auto" w:fill="auto"/>
        <w:tabs>
          <w:tab w:val="left" w:pos="91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phương;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7D8BAEC" w14:textId="77777777" w:rsidR="00F26CD6" w:rsidRPr="00180120" w:rsidRDefault="00F26CD6" w:rsidP="00F26CD6">
      <w:pPr>
        <w:pStyle w:val="ThnVnban"/>
        <w:shd w:val="clear" w:color="auto" w:fill="auto"/>
        <w:tabs>
          <w:tab w:val="left" w:pos="92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lĩnh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phương.</w:t>
      </w:r>
    </w:p>
    <w:p w14:paraId="20879952" w14:textId="77777777" w:rsidR="00F26CD6" w:rsidRPr="00180120" w:rsidRDefault="00F26CD6" w:rsidP="00F26CD6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Nguyên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0D11B15D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kịp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ACDF6B4" w14:textId="77777777" w:rsidR="00F26CD6" w:rsidRPr="00180120" w:rsidRDefault="00F26CD6" w:rsidP="00F26CD6">
      <w:pPr>
        <w:pStyle w:val="ThnVnban"/>
        <w:shd w:val="clear" w:color="auto" w:fill="auto"/>
        <w:tabs>
          <w:tab w:val="left" w:pos="98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4A7E40E4" w14:textId="77777777" w:rsidR="00F26CD6" w:rsidRPr="00180120" w:rsidRDefault="00F26CD6" w:rsidP="00F26CD6">
      <w:pPr>
        <w:pStyle w:val="ThnVnban"/>
        <w:shd w:val="clear" w:color="auto" w:fill="auto"/>
        <w:tabs>
          <w:tab w:val="left" w:pos="9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trùng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lặp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chéo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sẵn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88C3B13" w14:textId="77777777" w:rsidR="00F26CD6" w:rsidRPr="00180120" w:rsidRDefault="00F26CD6" w:rsidP="00F26CD6">
      <w:pPr>
        <w:pStyle w:val="ThnVnban"/>
        <w:shd w:val="clear" w:color="auto" w:fill="auto"/>
        <w:tabs>
          <w:tab w:val="left" w:pos="9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sơ, văn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6C33658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A08C421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29.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liệu</w:t>
      </w:r>
      <w:proofErr w:type="spellEnd"/>
    </w:p>
    <w:p w14:paraId="6D5910FC" w14:textId="77777777" w:rsidR="00F26CD6" w:rsidRPr="00180120" w:rsidRDefault="00F26CD6" w:rsidP="00F26CD6">
      <w:pPr>
        <w:pStyle w:val="ThnVnban"/>
        <w:shd w:val="clear" w:color="auto" w:fill="auto"/>
        <w:tabs>
          <w:tab w:val="left" w:pos="94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0CED7C13" w14:textId="77777777" w:rsidR="00F26CD6" w:rsidRPr="00180120" w:rsidRDefault="00F26CD6" w:rsidP="00F26CD6">
      <w:pPr>
        <w:pStyle w:val="ThnVnban"/>
        <w:shd w:val="clear" w:color="auto" w:fill="auto"/>
        <w:tabs>
          <w:tab w:val="left" w:pos="96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0DBDA75E" w14:textId="77777777" w:rsidR="00F26CD6" w:rsidRPr="00180120" w:rsidRDefault="00F26CD6" w:rsidP="00F26CD6">
      <w:pPr>
        <w:pStyle w:val="ThnVnban"/>
        <w:shd w:val="clear" w:color="auto" w:fill="auto"/>
        <w:tabs>
          <w:tab w:val="left" w:pos="98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dung,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lưu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);</w:t>
      </w:r>
    </w:p>
    <w:p w14:paraId="3FCA790C" w14:textId="77777777" w:rsidR="00F26CD6" w:rsidRPr="00180120" w:rsidRDefault="00F26CD6" w:rsidP="00F26CD6">
      <w:pPr>
        <w:pStyle w:val="ThnVnban"/>
        <w:shd w:val="clear" w:color="auto" w:fill="auto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592882A" w14:textId="77777777" w:rsidR="00F26CD6" w:rsidRPr="00180120" w:rsidRDefault="00F26CD6" w:rsidP="00F26CD6">
      <w:pPr>
        <w:pStyle w:val="ThnVnban"/>
        <w:shd w:val="clear" w:color="auto" w:fill="auto"/>
        <w:tabs>
          <w:tab w:val="left" w:pos="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mềm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17EA60C" w14:textId="77777777" w:rsidR="00F26CD6" w:rsidRPr="00180120" w:rsidRDefault="00F26CD6" w:rsidP="00F26CD6">
      <w:pPr>
        <w:pStyle w:val="ThnVnban"/>
        <w:shd w:val="clear" w:color="auto" w:fill="auto"/>
        <w:tabs>
          <w:tab w:val="left" w:pos="94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2B4FEB1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49B882C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DC3B87B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8891EE0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4F724932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 V</w:t>
      </w:r>
    </w:p>
    <w:p w14:paraId="6E6EEA7D" w14:textId="77777777" w:rsidR="00F26CD6" w:rsidRPr="00180120" w:rsidRDefault="00F26CD6" w:rsidP="00F26CD6">
      <w:pPr>
        <w:jc w:val="center"/>
        <w:rPr>
          <w:rStyle w:val="ThnVnbanChar"/>
          <w:rFonts w:ascii="Arial" w:hAnsi="Arial" w:cs="Arial"/>
          <w:b/>
          <w:bCs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sz w:val="20"/>
          <w:szCs w:val="20"/>
        </w:rPr>
        <w:t>CHI PH</w:t>
      </w:r>
      <w:r w:rsidRPr="00F26CD6">
        <w:rPr>
          <w:rStyle w:val="ThnVnbanChar"/>
          <w:rFonts w:ascii="Arial" w:hAnsi="Arial" w:cs="Arial"/>
          <w:b/>
          <w:bCs/>
          <w:sz w:val="20"/>
          <w:szCs w:val="20"/>
        </w:rPr>
        <w:t>Í</w:t>
      </w:r>
      <w:r w:rsidRPr="00180120">
        <w:rPr>
          <w:rStyle w:val="ThnVnbanChar"/>
          <w:rFonts w:ascii="Arial" w:hAnsi="Arial" w:cs="Arial"/>
          <w:b/>
          <w:bCs/>
          <w:sz w:val="20"/>
          <w:szCs w:val="20"/>
        </w:rPr>
        <w:t xml:space="preserve"> QUẢN LÝ DỰ ÁN VÀ TƯ VẤN ĐẦU TƯ XÂY DỰNG</w:t>
      </w:r>
    </w:p>
    <w:p w14:paraId="3026A9C2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4B4421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bookmark20"/>
      <w:bookmarkStart w:id="21" w:name="bookmark21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30. Chi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án</w:t>
      </w:r>
      <w:bookmarkEnd w:id="20"/>
      <w:bookmarkEnd w:id="21"/>
      <w:proofErr w:type="spellEnd"/>
    </w:p>
    <w:p w14:paraId="208178DC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sau:</w:t>
      </w:r>
    </w:p>
    <w:p w14:paraId="220665B8" w14:textId="77777777" w:rsidR="00F26CD6" w:rsidRPr="00180120" w:rsidRDefault="00F26CD6" w:rsidP="00F26CD6">
      <w:pPr>
        <w:pStyle w:val="ThnVnban"/>
        <w:shd w:val="clear" w:color="auto" w:fill="auto"/>
        <w:tabs>
          <w:tab w:val="left" w:pos="91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sinh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lắp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đưa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thu,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khởi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), tuyên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A78F67E" w14:textId="77777777" w:rsidR="00F26CD6" w:rsidRPr="00180120" w:rsidRDefault="00F26CD6" w:rsidP="00F26CD6">
      <w:pPr>
        <w:pStyle w:val="ThnVnban"/>
        <w:shd w:val="clear" w:color="auto" w:fill="auto"/>
        <w:tabs>
          <w:tab w:val="left" w:pos="92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sau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tư.</w:t>
      </w:r>
    </w:p>
    <w:p w14:paraId="3D9537E2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lương;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đóng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khoa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học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nâng cao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văn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thông tin, tuyên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liên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mướn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chữa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sắm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08DB976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quy mô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thay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810ADF8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thỏa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2EEF596" w14:textId="77777777" w:rsidR="00F26CD6" w:rsidRPr="00180120" w:rsidRDefault="00F26CD6" w:rsidP="00F26CD6">
      <w:pPr>
        <w:pStyle w:val="ThnVnban"/>
        <w:shd w:val="clear" w:color="auto" w:fill="auto"/>
        <w:tabs>
          <w:tab w:val="left" w:pos="9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EPC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giao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thỏa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45043F3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4, 5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64B8D8D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lastRenderedPageBreak/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31. Chi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7B8256FA" w14:textId="77777777" w:rsidR="00F26CD6" w:rsidRPr="00180120" w:rsidRDefault="00F26CD6" w:rsidP="00F26CD6">
      <w:pPr>
        <w:pStyle w:val="ThnVnban"/>
        <w:shd w:val="clear" w:color="auto" w:fill="auto"/>
        <w:tabs>
          <w:tab w:val="left" w:pos="89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524F9F38" w14:textId="77777777" w:rsidR="00F26CD6" w:rsidRPr="00180120" w:rsidRDefault="00F26CD6" w:rsidP="00F26CD6">
      <w:pPr>
        <w:pStyle w:val="ThnVnban"/>
        <w:shd w:val="clear" w:color="auto" w:fill="auto"/>
        <w:tabs>
          <w:tab w:val="left" w:pos="9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39BFE7C" w14:textId="77777777" w:rsidR="00F26CD6" w:rsidRPr="00180120" w:rsidRDefault="00F26CD6" w:rsidP="00F26CD6">
      <w:pPr>
        <w:pStyle w:val="ThnVnban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nghiên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tế-kỹ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cư;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227EBE67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quan tâm,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quan tâm,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lắp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35B49B6" w14:textId="77777777" w:rsidR="00F26CD6" w:rsidRPr="00180120" w:rsidRDefault="00F26CD6" w:rsidP="00F26CD6">
      <w:pPr>
        <w:pStyle w:val="ThnVnban"/>
        <w:shd w:val="clear" w:color="auto" w:fill="auto"/>
        <w:tabs>
          <w:tab w:val="left" w:pos="92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thông;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(BIM);</w:t>
      </w:r>
    </w:p>
    <w:p w14:paraId="1027B239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lắp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>vấn);</w:t>
      </w:r>
    </w:p>
    <w:p w14:paraId="5DECE5C9" w14:textId="77777777" w:rsidR="00F26CD6" w:rsidRPr="00180120" w:rsidRDefault="00F26CD6" w:rsidP="00F26CD6">
      <w:pPr>
        <w:pStyle w:val="ThnVnban"/>
        <w:shd w:val="clear" w:color="auto" w:fill="auto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e)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trắc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43828E2" w14:textId="77777777" w:rsidR="00F26CD6" w:rsidRPr="00180120" w:rsidRDefault="00F26CD6" w:rsidP="00F26CD6">
      <w:pPr>
        <w:pStyle w:val="ThnVnban"/>
        <w:shd w:val="clear" w:color="auto" w:fill="auto"/>
        <w:tabs>
          <w:tab w:val="left" w:pos="92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g)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đưa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);</w:t>
      </w:r>
    </w:p>
    <w:p w14:paraId="59855046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h)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6A657607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lương,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lương,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đóng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kinh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khoa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học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văn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thông tin, liên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mướn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chữa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sắm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tăng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Riêng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).</w:t>
      </w:r>
    </w:p>
    <w:p w14:paraId="516DDA43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trăm (%)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E5B0F82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thay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qua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66EDFE6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6901CCB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32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1AD9853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32. Chi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ngoài</w:t>
      </w:r>
      <w:proofErr w:type="spellEnd"/>
    </w:p>
    <w:p w14:paraId="3BB9764E" w14:textId="77777777" w:rsidR="00F26CD6" w:rsidRPr="00180120" w:rsidRDefault="00F26CD6" w:rsidP="00F26CD6">
      <w:pPr>
        <w:pStyle w:val="ThnVnban"/>
        <w:shd w:val="clear" w:color="auto" w:fill="auto"/>
        <w:tabs>
          <w:tab w:val="left" w:pos="8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4FC531F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gia,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gia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gia,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F0D9C5C" w14:textId="77777777" w:rsidR="00F26CD6" w:rsidRPr="00180120" w:rsidRDefault="00F26CD6" w:rsidP="00F26CD6">
      <w:pPr>
        <w:pStyle w:val="ThnVnban"/>
        <w:shd w:val="clear" w:color="auto" w:fill="auto"/>
        <w:tabs>
          <w:tab w:val="left" w:pos="8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Nam.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gia,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quan,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83455ED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cơ quan chuyên môn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giao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0AD16381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DE30FD3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2AE2E1D4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 VI</w:t>
      </w:r>
    </w:p>
    <w:p w14:paraId="5CFE4320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THANH TOÁN, QUYẾT TOÁN HỢP ĐỒNG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 VÀ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 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THANH TOÁN, QUYẾT TOÁN VỐN ĐẦU TƯ XÂ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Y DỰ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</w:p>
    <w:p w14:paraId="21621CE9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BFBDAE7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33. Thanh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1809BBF8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87CC9B9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34. Thanh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7653939F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:</w:t>
      </w:r>
    </w:p>
    <w:p w14:paraId="7F533DA8" w14:textId="77777777" w:rsidR="00F26CD6" w:rsidRPr="00180120" w:rsidRDefault="00F26CD6" w:rsidP="00F26CD6">
      <w:pPr>
        <w:pStyle w:val="ThnVnban"/>
        <w:shd w:val="clear" w:color="auto" w:fill="auto"/>
        <w:tabs>
          <w:tab w:val="left" w:pos="97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công;</w:t>
      </w:r>
    </w:p>
    <w:p w14:paraId="377162D3" w14:textId="77777777" w:rsidR="00F26CD6" w:rsidRPr="00180120" w:rsidRDefault="00F26CD6" w:rsidP="00F26CD6">
      <w:pPr>
        <w:pStyle w:val="ThnVnban"/>
        <w:shd w:val="clear" w:color="auto" w:fill="auto"/>
        <w:tabs>
          <w:tab w:val="left" w:pos="9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13E8F7D2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cơ quan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tư.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sót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cơ quan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sơ.</w:t>
      </w:r>
    </w:p>
    <w:p w14:paraId="6B77EB7C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Nghiêm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291D6BA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35.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5FE77FF3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đưa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vĩnh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viễn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dừng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phép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dứt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F247A26" w14:textId="77777777" w:rsidR="00F26CD6" w:rsidRPr="00180120" w:rsidRDefault="00F26CD6" w:rsidP="00F26CD6">
      <w:pPr>
        <w:pStyle w:val="ThnVnban"/>
        <w:shd w:val="clear" w:color="auto" w:fill="auto"/>
        <w:tabs>
          <w:tab w:val="left" w:pos="95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nằm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56EDAB9" w14:textId="77777777" w:rsidR="00F26CD6" w:rsidRPr="00180120" w:rsidRDefault="00F26CD6" w:rsidP="00F26CD6">
      <w:pPr>
        <w:pStyle w:val="ThnVnban"/>
        <w:shd w:val="clear" w:color="auto" w:fill="auto"/>
        <w:tabs>
          <w:tab w:val="left" w:pos="96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đưa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Riêng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tư.</w:t>
      </w:r>
    </w:p>
    <w:p w14:paraId="48C9B9A8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tư.</w:t>
      </w:r>
    </w:p>
    <w:p w14:paraId="7DE442AF" w14:textId="77777777" w:rsidR="00F26CD6" w:rsidRPr="00180120" w:rsidRDefault="00F26CD6" w:rsidP="00F26CD6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chậm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09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đưa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hạng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 đưa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ngay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xem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xét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8DF3FEA" w14:textId="77777777" w:rsidR="00F26CD6" w:rsidRPr="00180120" w:rsidRDefault="00F26CD6" w:rsidP="00F26CD6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chậm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09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7A3D616" w14:textId="77777777" w:rsidR="00F26CD6" w:rsidRPr="00180120" w:rsidRDefault="00F26CD6" w:rsidP="00F26CD6">
      <w:pPr>
        <w:pStyle w:val="ThnVnban"/>
        <w:shd w:val="clear" w:color="auto" w:fill="auto"/>
        <w:tabs>
          <w:tab w:val="left" w:pos="91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06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3590148" w14:textId="77777777" w:rsidR="00F26CD6" w:rsidRPr="00180120" w:rsidRDefault="00F26CD6" w:rsidP="00F26CD6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công, sau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thúc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theo niên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892E139" w14:textId="77777777" w:rsidR="00F26CD6" w:rsidRPr="00180120" w:rsidRDefault="00F26CD6" w:rsidP="00F26CD6">
      <w:pPr>
        <w:pStyle w:val="ThnVnban"/>
        <w:shd w:val="clear" w:color="auto" w:fill="auto"/>
        <w:tabs>
          <w:tab w:val="left" w:pos="9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9.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chậm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5D73F25" w14:textId="77777777" w:rsidR="00F26CD6" w:rsidRPr="00180120" w:rsidRDefault="00F26CD6" w:rsidP="00F26CD6">
      <w:pPr>
        <w:pStyle w:val="ThnVnban"/>
        <w:shd w:val="clear" w:color="auto" w:fill="auto"/>
        <w:tabs>
          <w:tab w:val="left" w:pos="103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10.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tư:</w:t>
      </w:r>
    </w:p>
    <w:p w14:paraId="7D9E3672" w14:textId="77777777" w:rsidR="00F26CD6" w:rsidRPr="00180120" w:rsidRDefault="00F26CD6" w:rsidP="00F26CD6">
      <w:pPr>
        <w:pStyle w:val="ThnVnban"/>
        <w:shd w:val="clear" w:color="auto" w:fill="auto"/>
        <w:tabs>
          <w:tab w:val="left" w:pos="9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giao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công;</w:t>
      </w:r>
    </w:p>
    <w:p w14:paraId="399BA29C" w14:textId="77777777" w:rsidR="00F26CD6" w:rsidRPr="00180120" w:rsidRDefault="00F26CD6" w:rsidP="00F26CD6">
      <w:pPr>
        <w:pStyle w:val="ThnVnban"/>
        <w:shd w:val="clear" w:color="auto" w:fill="auto"/>
        <w:tabs>
          <w:tab w:val="left" w:pos="92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22BA036E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PPP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tư.</w:t>
      </w:r>
    </w:p>
    <w:p w14:paraId="552254BF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211A0FA9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 VII</w:t>
      </w:r>
    </w:p>
    <w:p w14:paraId="7FD78BED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QUYỀN, NGHĨA 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VỤ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VÀ TRÁCH NHIỆM CỦA NGƯỜI QUYẾT ĐỊNH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 T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Ư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, CHỦ Đ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ẦU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TƯ, NHÀ THẦU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 TRONG QUẢN LÝ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CHI PHÍ ĐẦU TƯ XÂY DỰNG</w:t>
      </w:r>
    </w:p>
    <w:p w14:paraId="0B1FF285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A78FB0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bookmark22"/>
      <w:bookmarkStart w:id="23" w:name="bookmark23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36.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</w:t>
      </w:r>
      <w:bookmarkEnd w:id="22"/>
      <w:bookmarkEnd w:id="23"/>
    </w:p>
    <w:p w14:paraId="2E4035B2" w14:textId="77777777" w:rsidR="00F26CD6" w:rsidRPr="00180120" w:rsidRDefault="00F26CD6" w:rsidP="00F26CD6">
      <w:pPr>
        <w:pStyle w:val="ThnVnban"/>
        <w:shd w:val="clear" w:color="auto" w:fill="auto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72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7058B093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57AD91D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37.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</w:t>
      </w:r>
    </w:p>
    <w:p w14:paraId="24E7DB9E" w14:textId="77777777" w:rsidR="00F26CD6" w:rsidRPr="00180120" w:rsidRDefault="00F26CD6" w:rsidP="00F26CD6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68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6DE10B12" w14:textId="77777777" w:rsidR="00F26CD6" w:rsidRPr="00180120" w:rsidRDefault="00F26CD6" w:rsidP="00F26CD6">
      <w:pPr>
        <w:pStyle w:val="ThnVnban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môi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thỏa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tiêu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D72A719" w14:textId="77777777" w:rsidR="00F26CD6" w:rsidRPr="00180120" w:rsidRDefault="00F26CD6" w:rsidP="00F26CD6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chặt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đích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đảm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2816A22" w14:textId="77777777" w:rsidR="00F26CD6" w:rsidRPr="00180120" w:rsidRDefault="00F26CD6" w:rsidP="00F26CD6">
      <w:pPr>
        <w:pStyle w:val="ThnVnban"/>
        <w:shd w:val="clear" w:color="auto" w:fill="auto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9D18487" w14:textId="77777777" w:rsidR="00F26CD6" w:rsidRPr="00180120" w:rsidRDefault="00F26CD6" w:rsidP="00F26CD6">
      <w:pPr>
        <w:pStyle w:val="ThnVnban"/>
        <w:shd w:val="clear" w:color="auto" w:fill="auto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5D5F148" w14:textId="77777777" w:rsidR="00F26CD6" w:rsidRPr="00180120" w:rsidRDefault="00F26CD6" w:rsidP="00F26CD6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B962083" w14:textId="77777777" w:rsidR="00F26CD6" w:rsidRPr="00180120" w:rsidRDefault="00F26CD6" w:rsidP="00F26CD6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mua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qua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96A14C2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5AB4824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38.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26FB7BF9" w14:textId="77777777" w:rsidR="00F26CD6" w:rsidRPr="00180120" w:rsidRDefault="00F26CD6" w:rsidP="00F26CD6">
      <w:pPr>
        <w:pStyle w:val="ThnVnban"/>
        <w:shd w:val="clear" w:color="auto" w:fill="auto"/>
        <w:tabs>
          <w:tab w:val="left" w:pos="96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18CFD2B5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giao.</w:t>
      </w:r>
    </w:p>
    <w:p w14:paraId="77D315A9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7F2DF2A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tuệ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B684851" w14:textId="77777777" w:rsidR="00F26CD6" w:rsidRPr="00180120" w:rsidRDefault="00F26CD6" w:rsidP="00F26CD6">
      <w:pPr>
        <w:pStyle w:val="ThnVnban"/>
        <w:shd w:val="clear" w:color="auto" w:fill="auto"/>
        <w:tabs>
          <w:tab w:val="left" w:pos="98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tư.</w:t>
      </w:r>
    </w:p>
    <w:p w14:paraId="2AAB2138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không tuân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tư.</w:t>
      </w:r>
    </w:p>
    <w:p w14:paraId="02263A5D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39.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0F99AD2C" w14:textId="77777777" w:rsidR="00F26CD6" w:rsidRPr="00180120" w:rsidRDefault="00F26CD6" w:rsidP="00F26CD6">
      <w:pPr>
        <w:pStyle w:val="ThnVnban"/>
        <w:shd w:val="clear" w:color="auto" w:fill="auto"/>
        <w:tabs>
          <w:tab w:val="left" w:pos="96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quan.</w:t>
      </w:r>
    </w:p>
    <w:p w14:paraId="15952AFC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tham gia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169EC04B" w14:textId="77777777" w:rsidR="00F26CD6" w:rsidRPr="00180120" w:rsidRDefault="00F26CD6" w:rsidP="00F26CD6">
      <w:pPr>
        <w:pStyle w:val="ThnVnban"/>
        <w:shd w:val="clear" w:color="auto" w:fill="auto"/>
        <w:tabs>
          <w:tab w:val="left" w:pos="96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thỏa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sinh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6343C04E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9355FFB" w14:textId="77777777" w:rsidR="00F26CD6" w:rsidRPr="00180120" w:rsidRDefault="00F26CD6" w:rsidP="00F26CD6">
      <w:pPr>
        <w:pStyle w:val="ThnVnban"/>
        <w:shd w:val="clear" w:color="auto" w:fill="auto"/>
        <w:tabs>
          <w:tab w:val="left" w:pos="96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FAFEC63" w14:textId="77777777" w:rsidR="00F26CD6" w:rsidRPr="00180120" w:rsidRDefault="00F26CD6" w:rsidP="00F26CD6">
      <w:pPr>
        <w:pStyle w:val="ThnVnban"/>
        <w:shd w:val="clear" w:color="auto" w:fill="auto"/>
        <w:tabs>
          <w:tab w:val="left" w:pos="945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Bồi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không tuân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tư.</w:t>
      </w:r>
    </w:p>
    <w:p w14:paraId="2B0C6164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1501017D" w14:textId="77777777" w:rsidR="00F26CD6" w:rsidRPr="00F26CD6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III</w:t>
      </w:r>
    </w:p>
    <w:p w14:paraId="62A2C8D0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QUẢN LÝ NHÀ NƯỚC VỀ CHI PHÍ ĐẦU TƯ XÂY D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Ự</w:t>
      </w:r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NG</w:t>
      </w:r>
    </w:p>
    <w:p w14:paraId="19FEBA71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C434396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40.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</w:p>
    <w:p w14:paraId="1B84B6B9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D6299E5" w14:textId="77777777" w:rsidR="00F26CD6" w:rsidRPr="00180120" w:rsidRDefault="00F26CD6" w:rsidP="00F26CD6">
      <w:pPr>
        <w:pStyle w:val="ThnVnban"/>
        <w:shd w:val="clear" w:color="auto" w:fill="auto"/>
        <w:tabs>
          <w:tab w:val="left" w:pos="96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dung,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đo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bóc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AB6B2FE" w14:textId="77777777" w:rsidR="00F26CD6" w:rsidRPr="00180120" w:rsidRDefault="00F26CD6" w:rsidP="00F26CD6">
      <w:pPr>
        <w:pStyle w:val="ThnVnban"/>
        <w:shd w:val="clear" w:color="auto" w:fill="auto"/>
        <w:tabs>
          <w:tab w:val="left" w:pos="96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hao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DFD9B15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533422D" w14:textId="77777777" w:rsidR="00F26CD6" w:rsidRPr="00180120" w:rsidRDefault="00F26CD6" w:rsidP="00F26CD6">
      <w:pPr>
        <w:pStyle w:val="ThnVnban"/>
        <w:shd w:val="clear" w:color="auto" w:fill="auto"/>
        <w:tabs>
          <w:tab w:val="left" w:pos="96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Thanh tra,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A7EB87A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41.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K</w:t>
      </w:r>
      <w:r w:rsidRPr="00F26CD6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ế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</w:t>
      </w:r>
    </w:p>
    <w:p w14:paraId="7A77EB2C" w14:textId="77777777" w:rsidR="00F26CD6" w:rsidRPr="00180120" w:rsidRDefault="00F26CD6" w:rsidP="00F26CD6">
      <w:pPr>
        <w:pStyle w:val="ThnVnban"/>
        <w:shd w:val="clear" w:color="auto" w:fill="auto"/>
        <w:tabs>
          <w:tab w:val="left" w:pos="96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nguồn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trung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gia.</w:t>
      </w:r>
    </w:p>
    <w:p w14:paraId="6585E26E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đánh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tra, thanh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C4C8215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42.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Tài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chính</w:t>
      </w:r>
      <w:proofErr w:type="spellEnd"/>
    </w:p>
    <w:p w14:paraId="7E273D96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công.</w:t>
      </w:r>
    </w:p>
    <w:p w14:paraId="42729B27" w14:textId="77777777" w:rsidR="00F26CD6" w:rsidRPr="00180120" w:rsidRDefault="00F26CD6" w:rsidP="00F26CD6">
      <w:pPr>
        <w:pStyle w:val="ThnVnban"/>
        <w:shd w:val="clear" w:color="auto" w:fill="auto"/>
        <w:tabs>
          <w:tab w:val="left" w:pos="95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Thanh tra,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thanh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1B70427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bookmark24"/>
      <w:bookmarkStart w:id="25" w:name="bookmark25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43.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tỉnh</w:t>
      </w:r>
      <w:bookmarkEnd w:id="24"/>
      <w:bookmarkEnd w:id="25"/>
      <w:proofErr w:type="spellEnd"/>
    </w:p>
    <w:p w14:paraId="252735F8" w14:textId="77777777" w:rsidR="00F26CD6" w:rsidRPr="00180120" w:rsidRDefault="00F26CD6" w:rsidP="00F26CD6">
      <w:pPr>
        <w:pStyle w:val="ThnVnban"/>
        <w:shd w:val="clear" w:color="auto" w:fill="auto"/>
        <w:tabs>
          <w:tab w:val="left" w:pos="93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</w:p>
    <w:p w14:paraId="6C4E30DA" w14:textId="77777777" w:rsidR="00F26CD6" w:rsidRPr="00180120" w:rsidRDefault="00F26CD6" w:rsidP="00F26CD6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chuyên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0EB4F929" w14:textId="77777777" w:rsidR="00F26CD6" w:rsidRPr="00180120" w:rsidRDefault="00F26CD6" w:rsidP="00F26CD6">
      <w:pPr>
        <w:pStyle w:val="ThnVnban"/>
        <w:shd w:val="clear" w:color="auto" w:fill="auto"/>
        <w:tabs>
          <w:tab w:val="left" w:pos="97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dõi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FC744FA" w14:textId="77777777" w:rsidR="00F26CD6" w:rsidRPr="00180120" w:rsidRDefault="00F26CD6" w:rsidP="00F26CD6">
      <w:pPr>
        <w:pStyle w:val="ThnVnban"/>
        <w:shd w:val="clear" w:color="auto" w:fill="auto"/>
        <w:tabs>
          <w:tab w:val="left" w:pos="93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bom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lấy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ý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AAE15AB" w14:textId="77777777" w:rsidR="00F26CD6" w:rsidRPr="00180120" w:rsidRDefault="00F26CD6" w:rsidP="00F26CD6">
      <w:pPr>
        <w:pStyle w:val="ThnVnban"/>
        <w:shd w:val="clear" w:color="auto" w:fill="auto"/>
        <w:tabs>
          <w:tab w:val="left" w:pos="96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</w:p>
    <w:p w14:paraId="73821BB5" w14:textId="77777777" w:rsidR="00F26CD6" w:rsidRPr="00180120" w:rsidRDefault="00F26CD6" w:rsidP="00F26CD6">
      <w:pPr>
        <w:pStyle w:val="ThnVnban"/>
        <w:shd w:val="clear" w:color="auto" w:fill="auto"/>
        <w:tabs>
          <w:tab w:val="left" w:pos="95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trên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16DDFBE" w14:textId="77777777" w:rsidR="00F26CD6" w:rsidRPr="00180120" w:rsidRDefault="00F26CD6" w:rsidP="00F26CD6">
      <w:pPr>
        <w:pStyle w:val="ThnVnban"/>
        <w:shd w:val="clear" w:color="auto" w:fill="auto"/>
        <w:tabs>
          <w:tab w:val="left" w:pos="97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thù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phương;</w:t>
      </w:r>
    </w:p>
    <w:p w14:paraId="4F2D78EE" w14:textId="77777777" w:rsidR="00F26CD6" w:rsidRPr="00180120" w:rsidRDefault="00F26CD6" w:rsidP="00F26CD6">
      <w:pPr>
        <w:pStyle w:val="ThnVnban"/>
        <w:shd w:val="clear" w:color="auto" w:fill="auto"/>
        <w:tabs>
          <w:tab w:val="left" w:pos="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rà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soát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dõi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1E85146F" w14:textId="77777777" w:rsidR="00F26CD6" w:rsidRPr="00180120" w:rsidRDefault="00F26CD6" w:rsidP="00F26CD6">
      <w:pPr>
        <w:pStyle w:val="ThnVnban"/>
        <w:shd w:val="clear" w:color="auto" w:fill="auto"/>
        <w:tabs>
          <w:tab w:val="left" w:pos="97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phương;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phân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công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thuê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công;</w:t>
      </w:r>
    </w:p>
    <w:p w14:paraId="726DB539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ngân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tin,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dữ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5CE2FCF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26" w:name="bookmark26"/>
      <w:bookmarkStart w:id="27" w:name="bookmark27"/>
    </w:p>
    <w:p w14:paraId="020D0BD1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Chương IX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ĐI</w:t>
      </w:r>
      <w:r w:rsidRPr="00F26CD6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ỀU</w:t>
      </w:r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KHOẢN THI HÀNH</w:t>
      </w:r>
      <w:bookmarkEnd w:id="26"/>
      <w:bookmarkEnd w:id="27"/>
    </w:p>
    <w:p w14:paraId="498B0EE4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6C722FC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bookmark28"/>
      <w:bookmarkStart w:id="29" w:name="bookmark29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44. Quy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chuyển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tiếp</w:t>
      </w:r>
      <w:bookmarkEnd w:id="28"/>
      <w:bookmarkEnd w:id="29"/>
      <w:proofErr w:type="spellEnd"/>
    </w:p>
    <w:p w14:paraId="50960C71" w14:textId="77777777" w:rsidR="00F26CD6" w:rsidRPr="00180120" w:rsidRDefault="00F26CD6" w:rsidP="00F26CD6">
      <w:pPr>
        <w:pStyle w:val="ThnVnban"/>
        <w:shd w:val="clear" w:color="auto" w:fill="auto"/>
        <w:tabs>
          <w:tab w:val="left" w:pos="93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01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01 năm 2021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2014 nhưng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năm 2014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văn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phạm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7681E4C" w14:textId="77777777" w:rsidR="00F26CD6" w:rsidRPr="00180120" w:rsidRDefault="00F26CD6" w:rsidP="00F26CD6">
      <w:pPr>
        <w:pStyle w:val="ThnVnban"/>
        <w:shd w:val="clear" w:color="auto" w:fill="auto"/>
        <w:tabs>
          <w:tab w:val="left" w:pos="8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nhưng chưa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</w:p>
    <w:p w14:paraId="605F1BE1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đoạn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lastRenderedPageBreak/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BBD7183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đang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giai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đoạn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6DB88235" w14:textId="77777777" w:rsidR="00F26CD6" w:rsidRPr="00180120" w:rsidRDefault="00F26CD6" w:rsidP="00F26CD6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5A68205E" w14:textId="77777777" w:rsidR="00F26CD6" w:rsidRPr="00180120" w:rsidRDefault="00F26CD6" w:rsidP="00F26CD6">
      <w:pPr>
        <w:pStyle w:val="ThnVnban"/>
        <w:shd w:val="clear" w:color="auto" w:fill="auto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nêu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đang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7AE8C64" w14:textId="77777777" w:rsidR="00F26CD6" w:rsidRPr="00180120" w:rsidRDefault="00F26CD6" w:rsidP="00F26CD6">
      <w:pPr>
        <w:pStyle w:val="ThnVnban"/>
        <w:shd w:val="clear" w:color="auto" w:fill="auto"/>
        <w:tabs>
          <w:tab w:val="left" w:pos="92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5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E4CB4CB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a, b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4FC088C4" w14:textId="77777777" w:rsidR="00F26CD6" w:rsidRPr="00180120" w:rsidRDefault="00F26CD6" w:rsidP="00F26CD6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do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khảo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26,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27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đơn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a, b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84BA9CF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đang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chuẩn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1, 2, 3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40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9BE4589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sau khi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 sau:</w:t>
      </w:r>
    </w:p>
    <w:p w14:paraId="137E82B9" w14:textId="77777777" w:rsidR="00F26CD6" w:rsidRPr="00180120" w:rsidRDefault="00F26CD6" w:rsidP="00F26CD6">
      <w:pPr>
        <w:pStyle w:val="ThnVnban"/>
        <w:shd w:val="clear" w:color="auto" w:fill="auto"/>
        <w:tabs>
          <w:tab w:val="left" w:pos="91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a)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769A0AF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b)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2A466398" w14:textId="77777777" w:rsidR="00F26CD6" w:rsidRPr="00180120" w:rsidRDefault="00F26CD6" w:rsidP="00F26CD6">
      <w:pPr>
        <w:pStyle w:val="ThnVnban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c)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phương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công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trong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6967882C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d)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nhưng chưa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đóng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xem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xét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đấu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đóng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yêu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sơ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không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43DFE48A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đ)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F26CD6">
        <w:rPr>
          <w:rStyle w:val="ThnVnbanChar"/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;</w:t>
      </w:r>
    </w:p>
    <w:p w14:paraId="7F4F52D4" w14:textId="77777777" w:rsidR="00F26CD6" w:rsidRPr="00180120" w:rsidRDefault="00F26CD6" w:rsidP="00F26CD6">
      <w:pPr>
        <w:pStyle w:val="ThnVnban"/>
        <w:shd w:val="clear" w:color="auto" w:fill="auto"/>
        <w:tabs>
          <w:tab w:val="left" w:pos="9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e)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gói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c, d, đ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vượt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thẩm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phê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duyệt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mức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theo quy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12980E9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lastRenderedPageBreak/>
        <w:t>Điều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45.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b/>
          <w:bCs/>
          <w:color w:val="000000"/>
          <w:sz w:val="20"/>
          <w:szCs w:val="20"/>
          <w:lang w:eastAsia="vi-VN"/>
        </w:rPr>
        <w:t>hiện</w:t>
      </w:r>
      <w:proofErr w:type="spellEnd"/>
    </w:p>
    <w:p w14:paraId="504321B7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ngang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cơ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ban nhân dân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trung ương,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trưởng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nhân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3A7156BA" w14:textId="77777777" w:rsidR="00F26CD6" w:rsidRPr="00180120" w:rsidRDefault="00F26CD6" w:rsidP="00F26CD6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jc w:val="both"/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</w:pPr>
      <w:r w:rsidRPr="00F26CD6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trì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phối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liên quan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hướng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918F0F8" w14:textId="77777777" w:rsidR="00F26CD6" w:rsidRPr="00180120" w:rsidRDefault="00F26CD6" w:rsidP="00F26CD6">
      <w:pPr>
        <w:pStyle w:val="Heading10"/>
        <w:keepNext/>
        <w:keepLines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bookmark30"/>
      <w:bookmarkStart w:id="31" w:name="bookmark31"/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Điều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46.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hành</w:t>
      </w:r>
      <w:bookmarkEnd w:id="30"/>
      <w:bookmarkEnd w:id="31"/>
      <w:proofErr w:type="spellEnd"/>
    </w:p>
    <w:p w14:paraId="3CE113F0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720"/>
        <w:jc w:val="both"/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hiệu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lực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thay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thế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68/2019/NĐ-CP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14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8 năm 2019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phí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 xml:space="preserve"> tư xây </w:t>
      </w:r>
      <w:proofErr w:type="spellStart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 w:rsidRPr="00180120"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21C6C0B8" w14:textId="77777777" w:rsidR="00F26CD6" w:rsidRPr="00180120" w:rsidRDefault="00F26CD6" w:rsidP="00F26CD6">
      <w:pPr>
        <w:pStyle w:val="ThnVnban"/>
        <w:shd w:val="clear" w:color="auto" w:fill="auto"/>
        <w:spacing w:after="0" w:line="240" w:lineRule="auto"/>
        <w:ind w:firstLine="720"/>
        <w:jc w:val="both"/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33"/>
        <w:gridCol w:w="3479"/>
      </w:tblGrid>
      <w:tr w:rsidR="00F26CD6" w:rsidRPr="00180120" w14:paraId="73F5C5A8" w14:textId="77777777" w:rsidTr="0063438D">
        <w:tc>
          <w:tcPr>
            <w:tcW w:w="5490" w:type="dxa"/>
            <w:shd w:val="clear" w:color="auto" w:fill="auto"/>
          </w:tcPr>
          <w:p w14:paraId="60DC2736" w14:textId="77777777" w:rsidR="00F26CD6" w:rsidRPr="00180120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120">
              <w:rPr>
                <w:rStyle w:val="ThnVnbanChar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Nơi </w:t>
            </w:r>
            <w:proofErr w:type="spellStart"/>
            <w:r w:rsidRPr="00180120">
              <w:rPr>
                <w:rStyle w:val="ThnVnbanChar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nhận</w:t>
            </w:r>
            <w:proofErr w:type="spellEnd"/>
            <w:r w:rsidRPr="00180120">
              <w:rPr>
                <w:rStyle w:val="ThnVnbanChar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:</w:t>
            </w:r>
          </w:p>
          <w:p w14:paraId="78D930AF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26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Ban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Bí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thư Trung ương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Đảng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3F2DA342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26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Thủ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tướng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Phó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Thủ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tướng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Chính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phủ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54DCF437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bộ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cơ quan ngang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bộ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cơ quan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thuộc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Chính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phủ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3B91C8A2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19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HĐND, UBND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tỉnh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thành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phố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trực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thuộc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trung ương;</w:t>
            </w:r>
          </w:p>
          <w:p w14:paraId="62CAC2D8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22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Văn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phòng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Trung ương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và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Ban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của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Đảng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17A1CA10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26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Văn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phòng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Tổng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Bí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thư;</w:t>
            </w:r>
          </w:p>
          <w:p w14:paraId="34D18960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22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Văn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phòng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Chủ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tịch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nước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658FFF3D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Hội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đồng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Dân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tộc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và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Ủy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ban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của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Quốc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hội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603FBF6B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126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Văn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phòng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Quốc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hội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089F5A2B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398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Tòa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án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nhân dân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tối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cao;</w:t>
            </w:r>
          </w:p>
          <w:p w14:paraId="6452E57B" w14:textId="77777777" w:rsidR="00F26CD6" w:rsidRPr="00F26CD6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Viện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kiểm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sát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nhân dân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tối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cao;</w:t>
            </w:r>
          </w:p>
          <w:p w14:paraId="5B3A92EC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Kiểm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toán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nhà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nước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71234F82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Ủy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ban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Giám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sát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tài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chính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Quốc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gia;</w:t>
            </w:r>
          </w:p>
          <w:p w14:paraId="72AE1E04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Ngân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hàng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Chính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sách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xã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hội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1CC27FF5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Ngân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hàng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Phát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triển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Việt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Nam;</w:t>
            </w:r>
          </w:p>
          <w:p w14:paraId="6CB3A142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Ủy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ban trung ương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Mặt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trận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Tổ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quốc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Việt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Nam;</w:t>
            </w:r>
          </w:p>
          <w:p w14:paraId="423E5737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Cơ quan trung ương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của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đoàn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thể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6CA4A4BB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26CD6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VPCP: </w:t>
            </w:r>
            <w:r w:rsidRPr="00F26CD6">
              <w:rPr>
                <w:rStyle w:val="Bodytext4"/>
                <w:rFonts w:ascii="Arial" w:hAnsi="Arial" w:cs="Arial"/>
                <w:color w:val="000000"/>
              </w:rPr>
              <w:t xml:space="preserve">BTCN,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r w:rsidRPr="00F26CD6">
              <w:rPr>
                <w:rStyle w:val="Bodytext4"/>
                <w:rFonts w:ascii="Arial" w:hAnsi="Arial" w:cs="Arial"/>
                <w:color w:val="000000"/>
              </w:rPr>
              <w:t xml:space="preserve">PCN,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Trợ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lý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TTg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TGĐ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cổng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TTĐT,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các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Vụ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Cục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đơn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vị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trực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thuộc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, Công </w:t>
            </w:r>
            <w:proofErr w:type="spellStart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báo</w:t>
            </w:r>
            <w:proofErr w:type="spellEnd"/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>;</w:t>
            </w:r>
          </w:p>
          <w:p w14:paraId="03508C47" w14:textId="77777777" w:rsidR="00F26CD6" w:rsidRPr="00180120" w:rsidRDefault="00F26CD6" w:rsidP="0063438D">
            <w:pPr>
              <w:pStyle w:val="Bodytext40"/>
              <w:shd w:val="clear" w:color="auto" w:fill="auto"/>
              <w:tabs>
                <w:tab w:val="left" w:pos="401"/>
              </w:tabs>
              <w:spacing w:line="240" w:lineRule="auto"/>
              <w:jc w:val="both"/>
              <w:rPr>
                <w:rStyle w:val="ThnVnbanChar"/>
                <w:rFonts w:ascii="Arial" w:hAnsi="Arial" w:cs="Arial"/>
                <w:color w:val="000000"/>
                <w:sz w:val="20"/>
                <w:szCs w:val="20"/>
              </w:rPr>
            </w:pPr>
            <w:r w:rsidRPr="00180120">
              <w:rPr>
                <w:rStyle w:val="Bodytext4"/>
                <w:rFonts w:ascii="Arial" w:hAnsi="Arial" w:cs="Arial"/>
                <w:color w:val="000000"/>
                <w:lang w:val="en-US" w:eastAsia="vi-VN"/>
              </w:rPr>
              <w:t xml:space="preserve">- </w:t>
            </w:r>
            <w:r w:rsidRPr="00180120">
              <w:rPr>
                <w:rStyle w:val="Bodytext4"/>
                <w:rFonts w:ascii="Arial" w:hAnsi="Arial" w:cs="Arial"/>
                <w:color w:val="000000"/>
                <w:lang w:eastAsia="vi-VN"/>
              </w:rPr>
              <w:t xml:space="preserve">Lưu: VT, </w:t>
            </w:r>
            <w:r w:rsidRPr="00180120">
              <w:rPr>
                <w:rStyle w:val="Bodytext4"/>
                <w:rFonts w:ascii="Arial" w:hAnsi="Arial" w:cs="Arial"/>
                <w:color w:val="000000"/>
                <w:lang w:val="en-US"/>
              </w:rPr>
              <w:t xml:space="preserve">CN </w:t>
            </w:r>
            <w:r>
              <w:rPr>
                <w:rStyle w:val="Bodytext4"/>
                <w:rFonts w:ascii="Arial" w:hAnsi="Arial" w:cs="Arial"/>
                <w:color w:val="000000"/>
                <w:lang w:eastAsia="vi-VN"/>
              </w:rPr>
              <w:t>(2).</w:t>
            </w:r>
          </w:p>
        </w:tc>
        <w:tc>
          <w:tcPr>
            <w:tcW w:w="3510" w:type="dxa"/>
            <w:shd w:val="clear" w:color="auto" w:fill="auto"/>
          </w:tcPr>
          <w:p w14:paraId="44223A76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F26CD6"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  <w:t>TM. CHÍNH PHỦ</w:t>
            </w:r>
          </w:p>
          <w:p w14:paraId="7029A353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F26CD6"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  <w:t>THỦ TƯỚNG</w:t>
            </w:r>
          </w:p>
          <w:p w14:paraId="086B8B8F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  <w:p w14:paraId="20D5AFB6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  <w:p w14:paraId="40C2ACE3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  <w:p w14:paraId="076F5D28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  <w:p w14:paraId="56556F18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  <w:p w14:paraId="2693C1F7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  <w:p w14:paraId="0D84D6D5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  <w:p w14:paraId="3C326266" w14:textId="77777777" w:rsidR="00F26CD6" w:rsidRPr="00F26CD6" w:rsidRDefault="00F26CD6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F26CD6">
              <w:rPr>
                <w:rStyle w:val="ThnVnbanChar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  <w:t>Nguyễn Xuân Phúc</w:t>
            </w:r>
          </w:p>
        </w:tc>
      </w:tr>
    </w:tbl>
    <w:p w14:paraId="36ACBFBC" w14:textId="77777777" w:rsidR="00F26CD6" w:rsidRPr="00180120" w:rsidRDefault="00F26CD6" w:rsidP="00F26CD6">
      <w:pPr>
        <w:pStyle w:val="ThnVnban"/>
        <w:shd w:val="clear" w:color="auto" w:fill="auto"/>
        <w:spacing w:after="120" w:line="240" w:lineRule="auto"/>
        <w:ind w:firstLine="720"/>
        <w:jc w:val="both"/>
        <w:rPr>
          <w:rStyle w:val="ThnVnbanChar"/>
          <w:rFonts w:ascii="Arial" w:hAnsi="Arial" w:cs="Arial"/>
          <w:color w:val="000000"/>
          <w:sz w:val="20"/>
          <w:szCs w:val="20"/>
          <w:lang w:eastAsia="vi-VN"/>
        </w:rPr>
      </w:pPr>
    </w:p>
    <w:p w14:paraId="1C4452F6" w14:textId="77777777" w:rsidR="00F26CD6" w:rsidRPr="00180120" w:rsidRDefault="00F26CD6" w:rsidP="00F26CD6">
      <w:pPr>
        <w:pStyle w:val="Bodytext40"/>
        <w:shd w:val="clear" w:color="auto" w:fill="auto"/>
        <w:tabs>
          <w:tab w:val="left" w:pos="4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</w:rPr>
      </w:pPr>
    </w:p>
    <w:p w14:paraId="300DA615" w14:textId="77777777" w:rsidR="00204EB7" w:rsidRDefault="00204EB7"/>
    <w:sectPr w:rsidR="00204EB7" w:rsidSect="00515F93">
      <w:footerReference w:type="default" r:id="rId5"/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5BAC" w14:textId="0FE3407D" w:rsidR="00167121" w:rsidRDefault="00F26CD6">
    <w:pPr>
      <w:pStyle w:val="Chntrang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D6"/>
    <w:rsid w:val="00204EB7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39CB5"/>
  <w15:chartTrackingRefBased/>
  <w15:docId w15:val="{85D0FEB5-5B04-4AF9-8E08-B395B8EB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26CD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iPriority w:val="99"/>
    <w:rsid w:val="00F26CD6"/>
    <w:rPr>
      <w:color w:val="0066CC"/>
      <w:u w:val="single"/>
    </w:rPr>
  </w:style>
  <w:style w:type="character" w:customStyle="1" w:styleId="ThnVnbanChar">
    <w:name w:val="Thân Văn bản Char"/>
    <w:link w:val="ThnVnban"/>
    <w:uiPriority w:val="99"/>
    <w:rsid w:val="00F26CD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F26C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F26CD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F26C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F26C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ThnVnban">
    <w:name w:val="Body Text"/>
    <w:basedOn w:val="Binhthng"/>
    <w:link w:val="ThnVnbanChar"/>
    <w:uiPriority w:val="99"/>
    <w:qFormat/>
    <w:rsid w:val="00F26CD6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ThnVnbanChar1">
    <w:name w:val="Thân Văn bản Char1"/>
    <w:basedOn w:val="Phngmcinhcuaoanvn"/>
    <w:uiPriority w:val="99"/>
    <w:semiHidden/>
    <w:rsid w:val="00F26CD6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customStyle="1" w:styleId="BodyTextChar">
    <w:name w:val="Body Text Char"/>
    <w:uiPriority w:val="99"/>
    <w:semiHidden/>
    <w:rsid w:val="00F26CD6"/>
    <w:rPr>
      <w:rFonts w:cs="Courier New"/>
      <w:color w:val="000000"/>
      <w:lang w:val="vi-VN" w:eastAsia="vi-VN"/>
    </w:rPr>
  </w:style>
  <w:style w:type="paragraph" w:customStyle="1" w:styleId="Tablecaption0">
    <w:name w:val="Table caption"/>
    <w:basedOn w:val="Binhthng"/>
    <w:link w:val="Tablecaption"/>
    <w:uiPriority w:val="99"/>
    <w:rsid w:val="00F26CD6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Other0">
    <w:name w:val="Other"/>
    <w:basedOn w:val="Binhthng"/>
    <w:link w:val="Other"/>
    <w:uiPriority w:val="99"/>
    <w:rsid w:val="00F26CD6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Heading10">
    <w:name w:val="Heading #1"/>
    <w:basedOn w:val="Binhthng"/>
    <w:link w:val="Heading1"/>
    <w:uiPriority w:val="99"/>
    <w:rsid w:val="00F26CD6"/>
    <w:pPr>
      <w:shd w:val="clear" w:color="auto" w:fill="FFFFFF"/>
      <w:spacing w:after="220" w:line="259" w:lineRule="auto"/>
      <w:ind w:firstLine="54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40">
    <w:name w:val="Body text (4)"/>
    <w:basedOn w:val="Binhthng"/>
    <w:link w:val="Bodytext4"/>
    <w:uiPriority w:val="99"/>
    <w:rsid w:val="00F26CD6"/>
    <w:pPr>
      <w:shd w:val="clear" w:color="auto" w:fill="FFFFFF"/>
      <w:spacing w:line="259" w:lineRule="auto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LiBang">
    <w:name w:val="Table Grid"/>
    <w:basedOn w:val="BangThngthng"/>
    <w:uiPriority w:val="39"/>
    <w:rsid w:val="00F26C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F26CD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26CD6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styleId="Chntrang">
    <w:name w:val="footer"/>
    <w:basedOn w:val="Binhthng"/>
    <w:link w:val="ChntrangChar"/>
    <w:uiPriority w:val="99"/>
    <w:unhideWhenUsed/>
    <w:rsid w:val="00F26CD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F26CD6"/>
    <w:rPr>
      <w:rFonts w:ascii="Courier New" w:eastAsia="Times New Roman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13DE-B652-4512-AE11-17DAF732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12230</Words>
  <Characters>69715</Characters>
  <Application>Microsoft Office Word</Application>
  <DocSecurity>0</DocSecurity>
  <Lines>580</Lines>
  <Paragraphs>163</Paragraphs>
  <ScaleCrop>false</ScaleCrop>
  <Company/>
  <LinksUpToDate>false</LinksUpToDate>
  <CharactersWithSpaces>81782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2021-07-13T13:02:00Z</dcterms:created>
  <dcterms:modified xsi:type="dcterms:W3CDTF">2021-07-13T13:04:00Z</dcterms:modified>
</cp:coreProperties>
</file>